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2635250</wp:posOffset>
            </wp:positionH>
            <wp:positionV relativeFrom="paragraph">
              <wp:posOffset>13335</wp:posOffset>
            </wp:positionV>
            <wp:extent cx="189738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738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FIRSTCASH HOLDINGS, INC.</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ectPr>
          <w:pgSz w:w="11900" w:h="16838" w:orient="portrait"/>
          <w:cols w:equalWidth="0" w:num="1">
            <w:col w:w="11280"/>
          </w:cols>
          <w:pgMar w:left="300" w:top="740" w:right="319" w:bottom="1440" w:gutter="0" w:footer="0" w:header="0"/>
        </w:sectPr>
      </w:pPr>
    </w:p>
    <w:p>
      <w:pPr>
        <w:spacing w:after="0" w:line="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001-10960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87-3920732</w:t>
      </w:r>
    </w:p>
    <w:p>
      <w:pPr>
        <w:spacing w:after="0" w:line="32" w:lineRule="exact"/>
        <w:rPr>
          <w:sz w:val="24"/>
          <w:szCs w:val="24"/>
          <w:color w:val="auto"/>
        </w:rPr>
      </w:pPr>
    </w:p>
    <w:p>
      <w:pPr>
        <w:sectPr>
          <w:pgSz w:w="11900" w:h="16838" w:orient="portrait"/>
          <w:cols w:equalWidth="0" w:num="3">
            <w:col w:w="4680" w:space="720"/>
            <w:col w:w="3000" w:space="720"/>
            <w:col w:w="2160"/>
          </w:cols>
          <w:pgMar w:left="300" w:top="740" w:right="31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0"/>
          <w:szCs w:val="10"/>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0"/>
          <w:szCs w:val="10"/>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(IRS Employer Identification No.)</w:t>
      </w:r>
    </w:p>
    <w:p>
      <w:pPr>
        <w:spacing w:after="0" w:line="200" w:lineRule="exact"/>
        <w:rPr>
          <w:sz w:val="24"/>
          <w:szCs w:val="24"/>
          <w:color w:val="auto"/>
        </w:rPr>
      </w:pPr>
    </w:p>
    <w:p>
      <w:pPr>
        <w:sectPr>
          <w:pgSz w:w="11900" w:h="16838" w:orient="portrait"/>
          <w:cols w:equalWidth="0" w:num="3">
            <w:col w:w="4340" w:space="720"/>
            <w:col w:w="2900" w:space="720"/>
            <w:col w:w="2600"/>
          </w:cols>
          <w:pgMar w:left="300" w:top="740" w:right="319" w:bottom="1440" w:gutter="0" w:footer="0" w:header="0"/>
          <w:type w:val="continuous"/>
        </w:sectPr>
      </w:pP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1600 West 7th Street, Fort Worth, Texas 76102</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(Address of principal executive offices, including zip code)</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(817) 335-1100</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(Former name or former address, if changed since last report)</w:t>
      </w:r>
    </w:p>
    <w:p>
      <w:pPr>
        <w:sectPr>
          <w:pgSz w:w="11900" w:h="16838" w:orient="portrait"/>
          <w:cols w:equalWidth="0" w:num="1">
            <w:col w:w="11280"/>
          </w:cols>
          <w:pgMar w:left="300" w:top="740" w:right="319" w:bottom="1440" w:gutter="0" w:footer="0" w:header="0"/>
          <w:type w:val="continuous"/>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51" w:lineRule="exact"/>
        <w:rPr>
          <w:rFonts w:ascii="MS PGothic" w:cs="MS PGothic" w:eastAsia="MS PGothic" w:hAnsi="MS PGothic"/>
          <w:sz w:val="12"/>
          <w:szCs w:val="12"/>
          <w:color w:val="auto"/>
        </w:rPr>
      </w:pPr>
    </w:p>
    <w:p>
      <w:pPr>
        <w:ind w:left="440" w:hanging="436"/>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51" w:lineRule="exact"/>
        <w:rPr>
          <w:rFonts w:ascii="MS PGothic" w:cs="MS PGothic" w:eastAsia="MS PGothic" w:hAnsi="MS PGothic"/>
          <w:sz w:val="12"/>
          <w:szCs w:val="12"/>
          <w:color w:val="auto"/>
        </w:rPr>
      </w:pPr>
    </w:p>
    <w:p>
      <w:pPr>
        <w:ind w:left="440" w:hanging="436"/>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51" w:lineRule="exact"/>
        <w:rPr>
          <w:rFonts w:ascii="MS PGothic" w:cs="MS PGothic" w:eastAsia="MS PGothic" w:hAnsi="MS PGothic"/>
          <w:sz w:val="12"/>
          <w:szCs w:val="12"/>
          <w:color w:val="auto"/>
        </w:rPr>
      </w:pPr>
    </w:p>
    <w:p>
      <w:pPr>
        <w:ind w:left="440" w:hanging="436"/>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63" w:lineRule="exact"/>
        <w:rPr>
          <w:sz w:val="24"/>
          <w:szCs w:val="24"/>
          <w:color w:val="auto"/>
        </w:rPr>
      </w:pPr>
    </w:p>
    <w:tbl>
      <w:tblPr>
        <w:tblLayout w:type="fixed"/>
        <w:tblInd w:w="1260" w:type="dxa"/>
        <w:tblCellMar>
          <w:top w:w="0" w:type="dxa"/>
          <w:left w:w="0" w:type="dxa"/>
          <w:bottom w:w="0" w:type="dxa"/>
          <w:right w:w="0" w:type="dxa"/>
        </w:tblCellMar>
      </w:tblPr>
      <w:tr>
        <w:trPr>
          <w:trHeight w:val="159"/>
        </w:trPr>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2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c>
          <w:tcPr>
            <w:tcW w:w="42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98"/>
        </w:trPr>
        <w:tc>
          <w:tcPr>
            <w:tcW w:w="520" w:type="dxa"/>
            <w:vAlign w:val="bottom"/>
          </w:tcPr>
          <w:p>
            <w:pPr>
              <w:spacing w:after="0"/>
              <w:rPr>
                <w:sz w:val="17"/>
                <w:szCs w:val="17"/>
                <w:color w:val="auto"/>
              </w:rPr>
            </w:pPr>
          </w:p>
        </w:tc>
        <w:tc>
          <w:tcPr>
            <w:tcW w:w="1920" w:type="dxa"/>
            <w:vAlign w:val="bottom"/>
            <w:gridSpan w:val="2"/>
          </w:tcPr>
          <w:p>
            <w:pPr>
              <w:jc w:val="center"/>
              <w:ind w:right="10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480" w:type="dxa"/>
            <w:vAlign w:val="bottom"/>
          </w:tcPr>
          <w:p>
            <w:pPr>
              <w:spacing w:after="0"/>
              <w:rPr>
                <w:sz w:val="17"/>
                <w:szCs w:val="17"/>
                <w:color w:val="auto"/>
              </w:rPr>
            </w:pPr>
          </w:p>
        </w:tc>
        <w:tc>
          <w:tcPr>
            <w:tcW w:w="2340" w:type="dxa"/>
            <w:vAlign w:val="bottom"/>
            <w:gridSpan w:val="2"/>
          </w:tcPr>
          <w:p>
            <w:pPr>
              <w:jc w:val="center"/>
              <w:ind w:right="1400"/>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2660" w:type="dxa"/>
            <w:vAlign w:val="bottom"/>
            <w:gridSpan w:val="2"/>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20"/>
        </w:trPr>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160"/>
        </w:trPr>
        <w:tc>
          <w:tcPr>
            <w:tcW w:w="2440" w:type="dxa"/>
            <w:vAlign w:val="bottom"/>
            <w:gridSpan w:val="3"/>
          </w:tcPr>
          <w:p>
            <w:pPr>
              <w:jc w:val="center"/>
              <w:ind w:right="480"/>
              <w:spacing w:after="0"/>
              <w:rPr>
                <w:sz w:val="20"/>
                <w:szCs w:val="20"/>
                <w:color w:val="auto"/>
              </w:rPr>
            </w:pPr>
            <w:r>
              <w:rPr>
                <w:rFonts w:ascii="Times New Roman" w:cs="Times New Roman" w:eastAsia="Times New Roman" w:hAnsi="Times New Roman"/>
                <w:sz w:val="12"/>
                <w:szCs w:val="12"/>
                <w:color w:val="auto"/>
                <w:w w:val="99"/>
              </w:rPr>
              <w:t>Common Stock, par value $.01 per share</w:t>
            </w:r>
          </w:p>
        </w:tc>
        <w:tc>
          <w:tcPr>
            <w:tcW w:w="1480" w:type="dxa"/>
            <w:vAlign w:val="bottom"/>
          </w:tcPr>
          <w:p>
            <w:pPr>
              <w:spacing w:after="0"/>
              <w:rPr>
                <w:sz w:val="13"/>
                <w:szCs w:val="13"/>
                <w:color w:val="auto"/>
              </w:rPr>
            </w:pPr>
          </w:p>
        </w:tc>
        <w:tc>
          <w:tcPr>
            <w:tcW w:w="234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9"/>
              </w:rPr>
              <w:t>FCFS</w:t>
            </w:r>
          </w:p>
        </w:tc>
        <w:tc>
          <w:tcPr>
            <w:tcW w:w="4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The Nasdaq Stock Market</w:t>
            </w:r>
          </w:p>
        </w:tc>
      </w:tr>
    </w:tbl>
    <w:p>
      <w:pPr>
        <w:spacing w:after="0" w:line="214"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4"/>
          <w:szCs w:val="24"/>
          <w:color w:val="auto"/>
        </w:rPr>
      </w:pPr>
    </w:p>
    <w:p>
      <w:pPr>
        <w:spacing w:after="0" w:line="138" w:lineRule="exact"/>
        <w:tabs>
          <w:tab w:leader="none" w:pos="1400" w:val="left"/>
        </w:tabs>
        <w:rPr>
          <w:sz w:val="20"/>
          <w:szCs w:val="20"/>
          <w:color w:val="auto"/>
        </w:rPr>
      </w:pPr>
      <w:r>
        <w:rPr>
          <w:rFonts w:ascii="Times New Roman" w:cs="Times New Roman" w:eastAsia="Times New Roman" w:hAnsi="Times New Roman"/>
          <w:sz w:val="12"/>
          <w:szCs w:val="12"/>
          <w:color w:val="211D1E"/>
        </w:rPr>
        <w:t>Emerging growth company</w:t>
      </w:r>
      <w:r>
        <w:rPr>
          <w:sz w:val="20"/>
          <w:szCs w:val="20"/>
          <w:color w:val="auto"/>
        </w:rPr>
        <w:tab/>
      </w:r>
      <w:r>
        <w:rPr>
          <w:rFonts w:ascii="MS PGothic" w:cs="MS PGothic" w:eastAsia="MS PGothic" w:hAnsi="MS PGothic"/>
          <w:sz w:val="10"/>
          <w:szCs w:val="10"/>
          <w:color w:val="auto"/>
        </w:rPr>
        <w:t>☐</w:t>
      </w:r>
    </w:p>
    <w:p>
      <w:pPr>
        <w:spacing w:after="0" w:line="196"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211D1E"/>
        </w:rPr>
        <w:t xml:space="preserve">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rFonts w:ascii="MS PGothic" w:cs="MS PGothic" w:eastAsia="MS PGothic" w:hAnsi="MS PGothic"/>
          <w:sz w:val="12"/>
          <w:szCs w:val="12"/>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365125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FirstCash Holdings, Inc. (the “Company”) has made available on its corporate website (investors.firstcash.com) its most recent investor presentation. The presentation is also furnished as Exhibit 99.1 to this Current Report on Form 8-K and is incorporated in Item 7.01 of this Current Report by this reference.</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provided in this Item 7.01, including Exhibit 99.1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the specific reference in such filing.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 Exhibits:</w:t>
      </w:r>
    </w:p>
    <w:p>
      <w:pPr>
        <w:spacing w:after="0" w:line="123"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FF"/>
        </w:rPr>
        <w:t>FirstCash Holdings, Inc. Investor Presentation</w:t>
      </w:r>
    </w:p>
    <w:p>
      <w:pPr>
        <w:spacing w:after="0" w:line="17" w:lineRule="exact"/>
        <w:rPr>
          <w:sz w:val="20"/>
          <w:szCs w:val="20"/>
          <w:color w:val="auto"/>
        </w:rPr>
      </w:pPr>
    </w:p>
    <w:p>
      <w:pPr>
        <w:ind w:left="1320" w:hanging="668"/>
        <w:spacing w:after="0"/>
        <w:tabs>
          <w:tab w:leader="none" w:pos="1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 contained in Exhibit 101)</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378" w:lineRule="exact"/>
        <w:rPr>
          <w:rFonts w:ascii="Times New Roman" w:cs="Times New Roman" w:eastAsia="Times New Roman" w:hAnsi="Times New Roman"/>
          <w:sz w:val="12"/>
          <w:szCs w:val="12"/>
          <w:color w:val="auto"/>
        </w:rPr>
      </w:pPr>
    </w:p>
    <w:p>
      <w:pPr>
        <w:ind w:left="56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auto"/>
              </w:rPr>
              <w:t>Dated: March 3, 2026</w:t>
            </w:r>
          </w:p>
        </w:tc>
        <w:tc>
          <w:tcPr>
            <w:tcW w:w="2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FIRSTCASH HOLDINGS, INC.</w:t>
            </w:r>
          </w:p>
        </w:tc>
      </w:tr>
      <w:tr>
        <w:trPr>
          <w:trHeight w:val="160"/>
        </w:trPr>
        <w:tc>
          <w:tcPr>
            <w:tcW w:w="4780" w:type="dxa"/>
            <w:vAlign w:val="bottom"/>
          </w:tcPr>
          <w:p>
            <w:pPr>
              <w:spacing w:after="0"/>
              <w:rPr>
                <w:sz w:val="13"/>
                <w:szCs w:val="13"/>
                <w:color w:val="auto"/>
              </w:rPr>
            </w:pPr>
          </w:p>
        </w:tc>
        <w:tc>
          <w:tcPr>
            <w:tcW w:w="1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(Registrant)</w:t>
            </w:r>
          </w:p>
        </w:tc>
        <w:tc>
          <w:tcPr>
            <w:tcW w:w="960" w:type="dxa"/>
            <w:vAlign w:val="bottom"/>
          </w:tcPr>
          <w:p>
            <w:pPr>
              <w:spacing w:after="0"/>
              <w:rPr>
                <w:sz w:val="13"/>
                <w:szCs w:val="13"/>
                <w:color w:val="auto"/>
              </w:rPr>
            </w:pPr>
          </w:p>
        </w:tc>
      </w:tr>
      <w:tr>
        <w:trPr>
          <w:trHeight w:val="234"/>
        </w:trPr>
        <w:tc>
          <w:tcPr>
            <w:tcW w:w="4780" w:type="dxa"/>
            <w:vAlign w:val="bottom"/>
          </w:tcPr>
          <w:p>
            <w:pPr>
              <w:spacing w:after="0"/>
              <w:rPr>
                <w:sz w:val="20"/>
                <w:szCs w:val="20"/>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R. DOUGLAS ORR</w:t>
            </w:r>
          </w:p>
        </w:tc>
      </w:tr>
      <w:tr>
        <w:trPr>
          <w:trHeight w:val="158"/>
        </w:trPr>
        <w:tc>
          <w:tcPr>
            <w:tcW w:w="4780" w:type="dxa"/>
            <w:vAlign w:val="bottom"/>
          </w:tcPr>
          <w:p>
            <w:pPr>
              <w:spacing w:after="0"/>
              <w:rPr>
                <w:sz w:val="13"/>
                <w:szCs w:val="13"/>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R. Douglas Orr</w:t>
            </w:r>
          </w:p>
        </w:tc>
        <w:tc>
          <w:tcPr>
            <w:tcW w:w="1420" w:type="dxa"/>
            <w:vAlign w:val="bottom"/>
            <w:gridSpan w:val="2"/>
          </w:tcPr>
          <w:p>
            <w:pPr>
              <w:spacing w:after="0"/>
              <w:rPr>
                <w:sz w:val="13"/>
                <w:szCs w:val="13"/>
                <w:color w:val="auto"/>
              </w:rPr>
            </w:pPr>
          </w:p>
        </w:tc>
      </w:tr>
      <w:tr>
        <w:trPr>
          <w:trHeight w:val="153"/>
        </w:trPr>
        <w:tc>
          <w:tcPr>
            <w:tcW w:w="4780" w:type="dxa"/>
            <w:vAlign w:val="bottom"/>
          </w:tcPr>
          <w:p>
            <w:pPr>
              <w:spacing w:after="0"/>
              <w:rPr>
                <w:sz w:val="13"/>
                <w:szCs w:val="13"/>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8"/>
              </w:rPr>
              <w:t>Executive Vice President and Chief Financial Officer</w:t>
            </w:r>
          </w:p>
        </w:tc>
      </w:tr>
      <w:tr>
        <w:trPr>
          <w:trHeight w:val="155"/>
        </w:trPr>
        <w:tc>
          <w:tcPr>
            <w:tcW w:w="4780" w:type="dxa"/>
            <w:vAlign w:val="bottom"/>
          </w:tcPr>
          <w:p>
            <w:pPr>
              <w:spacing w:after="0"/>
              <w:rPr>
                <w:sz w:val="13"/>
                <w:szCs w:val="13"/>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(As Principal Financial Officer)</w:t>
            </w:r>
          </w:p>
        </w:tc>
      </w:tr>
      <w:tr>
        <w:trPr>
          <w:trHeight w:val="765"/>
        </w:trPr>
        <w:tc>
          <w:tcPr>
            <w:tcW w:w="4780" w:type="dxa"/>
            <w:vAlign w:val="bottom"/>
          </w:tcPr>
          <w:p>
            <w:pPr>
              <w:spacing w:after="0"/>
              <w:rPr>
                <w:sz w:val="24"/>
                <w:szCs w:val="24"/>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3</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159"/>
          </w:cols>
          <w:pgMar w:left="300" w:top="665"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2026-03-03T16:24:28Z</dcterms:created>
  <dcterms:modified xsi:type="dcterms:W3CDTF">2026-03-03T16:24:28Z</dcterms:modified>
</cp:coreProperties>
</file>