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268d1_8k.htm"/>
      <w:bookmarkStart w:id="1" w:name="kstm262426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082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623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962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2_edei--EntityRegistrantName_c2026"/>
      <w:bookmarkEnd w:id="4"/>
      <w:r>
        <w:rPr>
          <w:rFonts w:ascii="Times New Roman;Times;Serif" w:hAnsi="Times New Roman;Times;Serif"/>
          <w:b/>
          <w:i w:val="false"/>
          <w:caps w:val="false"/>
          <w:smallCaps w:val="false"/>
          <w:sz w:val="28"/>
          <w:u w:val="single"/>
        </w:rPr>
        <w:t>FIRSTCASH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Texas</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827"/>
            <w:bookmarkEnd w:id="6"/>
            <w:r>
              <w:rPr>
                <w:rFonts w:ascii="Times New Roman;Times;Serif" w:hAnsi="Times New Roman;Times;Serif"/>
                <w:b/>
                <w:sz w:val="20"/>
              </w:rPr>
              <w:t>001-10960</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87-3920732</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1600 West 7th Street,</w:t>
      </w:r>
      <w:bookmarkStart w:id="9" w:name="xdx_90A_edei--EntityAddressCityOrTown_c2"/>
      <w:bookmarkEnd w:id="9"/>
      <w:r>
        <w:rPr>
          <w:rFonts w:ascii="Times New Roman;Times;Serif" w:hAnsi="Times New Roman;Times;Serif"/>
          <w:b/>
          <w:i w:val="false"/>
          <w:caps w:val="false"/>
          <w:smallCaps w:val="false"/>
          <w:sz w:val="20"/>
        </w:rPr>
        <w:t xml:space="preserve"> Fort Worth, </w:t>
      </w:r>
      <w:bookmarkStart w:id="10" w:name="xdx_90B_edei--EntityAddressStateOrProvin"/>
      <w:bookmarkEnd w:id="10"/>
      <w:r>
        <w:rPr>
          <w:rFonts w:ascii="Times New Roman;Times;Serif" w:hAnsi="Times New Roman;Times;Serif"/>
          <w:b/>
          <w:i w:val="false"/>
          <w:caps w:val="false"/>
          <w:smallCaps w:val="false"/>
          <w:sz w:val="20"/>
        </w:rPr>
        <w:t xml:space="preserve">Texas </w:t>
      </w:r>
      <w:bookmarkStart w:id="11" w:name="xdx_90C_edei--EntityAddressPostalZipCode"/>
      <w:bookmarkEnd w:id="11"/>
      <w:r>
        <w:rPr>
          <w:rFonts w:ascii="Times New Roman;Times;Serif" w:hAnsi="Times New Roman;Times;Serif"/>
          <w:b/>
          <w:i w:val="false"/>
          <w:caps w:val="false"/>
          <w:smallCaps w:val="false"/>
          <w:sz w:val="20"/>
        </w:rPr>
        <w:t>76102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827__20"/>
      <w:bookmarkEnd w:id="12"/>
      <w:r>
        <w:rPr>
          <w:rFonts w:ascii="Times New Roman;Times;Serif" w:hAnsi="Times New Roman;Times;Serif"/>
          <w:b/>
          <w:i w:val="false"/>
          <w:caps w:val="false"/>
          <w:smallCaps w:val="false"/>
          <w:sz w:val="20"/>
        </w:rPr>
        <w:t xml:space="preserve">817) </w:t>
      </w:r>
      <w:bookmarkStart w:id="13" w:name="xdx_903_edei--LocalPhoneNumber_c20260827"/>
      <w:bookmarkEnd w:id="13"/>
      <w:r>
        <w:rPr>
          <w:rFonts w:ascii="Times New Roman;Times;Serif" w:hAnsi="Times New Roman;Times;Serif"/>
          <w:b/>
          <w:i w:val="false"/>
          <w:caps w:val="false"/>
          <w:smallCaps w:val="false"/>
          <w:sz w:val="20"/>
        </w:rPr>
        <w:t>335-1100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4" w:name="xdx_90E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bookmarkStart w:id="15" w:name="xdx_90E_edei--SolicitingMaterial_c202608"/>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bookmarkStart w:id="16" w:name="xdx_90E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bookmarkStart w:id="17" w:name="xdx_90A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305"/>
        <w:gridCol w:w="1610"/>
        <w:gridCol w:w="3710"/>
      </w:tblGrid>
      <w:tr>
        <w:trPr/>
        <w:tc>
          <w:tcPr>
            <w:tcW w:w="330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3305" w:type="dxa"/>
            <w:tcBorders/>
            <w:vAlign w:val="center"/>
          </w:tcPr>
          <w:p>
            <w:pPr>
              <w:pStyle w:val="TableContents"/>
              <w:bidi w:val="0"/>
              <w:spacing w:before="0" w:after="283"/>
              <w:jc w:val="center"/>
              <w:rPr>
                <w:rFonts w:ascii="Times New Roman;Times;Serif" w:hAnsi="Times New Roman;Times;Serif"/>
                <w:sz w:val="20"/>
              </w:rPr>
            </w:pPr>
            <w:bookmarkStart w:id="18" w:name="xdx_909_edei--Security12bTitle_c20260827"/>
            <w:bookmarkEnd w:id="18"/>
            <w:r>
              <w:rPr>
                <w:rFonts w:ascii="Times New Roman;Times;Serif" w:hAnsi="Times New Roman;Times;Serif"/>
                <w:sz w:val="20"/>
              </w:rPr>
              <w:t>Common Stock, par value $.01 per share</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19" w:name="xdx_90C_edei--TradingSymbol_c20260827__2"/>
            <w:bookmarkEnd w:id="19"/>
            <w:r>
              <w:rPr>
                <w:rFonts w:ascii="Times New Roman;Times;Serif" w:hAnsi="Times New Roman;Times;Serif"/>
                <w:sz w:val="20"/>
              </w:rPr>
              <w:t>FCFS</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B_edei--SecurityExchangeName_c2026"/>
            <w:bookmarkEnd w:id="20"/>
            <w:r>
              <w:rPr>
                <w:rFonts w:ascii="Times New Roman;Times;Serif" w:hAnsi="Times New Roman;Times;Serif"/>
                <w:sz w:val="20"/>
              </w:rPr>
              <w:t>Nasdaq Stock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Emerging growth company   </w:t>
      </w:r>
      <w:bookmarkStart w:id="21" w:name="xdx_901_edei--EntityEmergingGrowthCompan"/>
      <w:bookmarkEnd w:id="21"/>
      <w:r>
        <w:rPr>
          <w:rFonts w:ascii="Times New Roman;Times;Serif" w:hAnsi="Times New Roman;Times;Serif"/>
          <w:b w:val="false"/>
          <w:i w:val="false"/>
          <w:caps w:val="false"/>
          <w:smallCaps w:val="false"/>
          <w:color w:val="211D1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color w:val="211D1E"/>
        </w:rPr>
      </w:pPr>
      <w:r>
        <w:rPr>
          <w:caps w:val="false"/>
          <w:smallCaps w:val="false"/>
          <w:color w:val="211D1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color w:val="211D1E"/>
        </w:rPr>
      </w:pPr>
      <w:r>
        <w:rPr>
          <w:caps w:val="false"/>
          <w:smallCaps w:val="false"/>
          <w:color w:val="211D1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August 27, 2026, FirstCash Holdings, Inc., a Texas corporation (the “</w:t>
      </w:r>
      <w:r>
        <w:rPr>
          <w:rFonts w:ascii="Times New Roman;Times;Serif" w:hAnsi="Times New Roman;Times;Serif"/>
          <w:b w:val="false"/>
          <w:i w:val="false"/>
          <w:caps w:val="false"/>
          <w:smallCaps w:val="false"/>
          <w:color w:val="212529"/>
          <w:sz w:val="20"/>
          <w:u w:val="single"/>
        </w:rPr>
        <w:t>Company</w:t>
      </w:r>
      <w:r>
        <w:rPr>
          <w:rFonts w:ascii="Times New Roman;Times;Serif" w:hAnsi="Times New Roman;Times;Serif"/>
          <w:b w:val="false"/>
          <w:i w:val="false"/>
          <w:caps w:val="false"/>
          <w:smallCaps w:val="false"/>
          <w:color w:val="212529"/>
          <w:sz w:val="20"/>
        </w:rPr>
        <w:t>”), its wholly-owned subsidiaries, FirstCash, Inc., a Delaware corporation (“</w:t>
      </w:r>
      <w:r>
        <w:rPr>
          <w:rFonts w:ascii="Times New Roman;Times;Serif" w:hAnsi="Times New Roman;Times;Serif"/>
          <w:b w:val="false"/>
          <w:i w:val="false"/>
          <w:caps w:val="false"/>
          <w:smallCaps w:val="false"/>
          <w:color w:val="212529"/>
          <w:sz w:val="20"/>
          <w:u w:val="single"/>
        </w:rPr>
        <w:t>US Borrower</w:t>
      </w:r>
      <w:r>
        <w:rPr>
          <w:rFonts w:ascii="Times New Roman;Times;Serif" w:hAnsi="Times New Roman;Times;Serif"/>
          <w:b w:val="false"/>
          <w:i w:val="false"/>
          <w:caps w:val="false"/>
          <w:smallCaps w:val="false"/>
          <w:color w:val="212529"/>
          <w:sz w:val="20"/>
        </w:rPr>
        <w:t>”), Chess Holdco Limited, a company incorporated under the laws of England and Wales with company number 16434482 (“</w:t>
      </w:r>
      <w:r>
        <w:rPr>
          <w:rFonts w:ascii="Times New Roman;Times;Serif" w:hAnsi="Times New Roman;Times;Serif"/>
          <w:b w:val="false"/>
          <w:i w:val="false"/>
          <w:caps w:val="false"/>
          <w:smallCaps w:val="false"/>
          <w:color w:val="212529"/>
          <w:sz w:val="20"/>
          <w:u w:val="single"/>
        </w:rPr>
        <w:t>Chess Holdco</w:t>
      </w:r>
      <w:r>
        <w:rPr>
          <w:rFonts w:ascii="Times New Roman;Times;Serif" w:hAnsi="Times New Roman;Times;Serif"/>
          <w:b w:val="false"/>
          <w:i w:val="false"/>
          <w:caps w:val="false"/>
          <w:smallCaps w:val="false"/>
          <w:color w:val="212529"/>
          <w:sz w:val="20"/>
        </w:rPr>
        <w:t>”), and Chess Bidco Limited, a company incorporated under the laws of England and Wales with company number 16434757 (“</w:t>
      </w:r>
      <w:r>
        <w:rPr>
          <w:rFonts w:ascii="Times New Roman;Times;Serif" w:hAnsi="Times New Roman;Times;Serif"/>
          <w:b w:val="false"/>
          <w:i w:val="false"/>
          <w:caps w:val="false"/>
          <w:smallCaps w:val="false"/>
          <w:color w:val="212529"/>
          <w:sz w:val="20"/>
          <w:u w:val="single"/>
        </w:rPr>
        <w:t>Chess Bidco</w:t>
      </w:r>
      <w:r>
        <w:rPr>
          <w:rFonts w:ascii="Times New Roman;Times;Serif" w:hAnsi="Times New Roman;Times;Serif"/>
          <w:b w:val="false"/>
          <w:i w:val="false"/>
          <w:caps w:val="false"/>
          <w:smallCaps w:val="false"/>
          <w:color w:val="212529"/>
          <w:sz w:val="20"/>
        </w:rPr>
        <w:t>”; Chess Holdco and Chess Bidco, collectively, the “</w:t>
      </w:r>
      <w:r>
        <w:rPr>
          <w:rFonts w:ascii="Times New Roman;Times;Serif" w:hAnsi="Times New Roman;Times;Serif"/>
          <w:b w:val="false"/>
          <w:i w:val="false"/>
          <w:caps w:val="false"/>
          <w:smallCaps w:val="false"/>
          <w:color w:val="212529"/>
          <w:sz w:val="20"/>
          <w:u w:val="single"/>
        </w:rPr>
        <w:t>UK Borrowers</w:t>
      </w:r>
      <w:r>
        <w:rPr>
          <w:rFonts w:ascii="Times New Roman;Times;Serif" w:hAnsi="Times New Roman;Times;Serif"/>
          <w:b w:val="false"/>
          <w:i w:val="false"/>
          <w:caps w:val="false"/>
          <w:smallCaps w:val="false"/>
          <w:color w:val="212529"/>
          <w:sz w:val="20"/>
        </w:rPr>
        <w:t>”; and the UK Borrowers together with the US Borrower, the “</w:t>
      </w:r>
      <w:r>
        <w:rPr>
          <w:rFonts w:ascii="Times New Roman;Times;Serif" w:hAnsi="Times New Roman;Times;Serif"/>
          <w:b w:val="false"/>
          <w:i w:val="false"/>
          <w:caps w:val="false"/>
          <w:smallCaps w:val="false"/>
          <w:color w:val="212529"/>
          <w:sz w:val="20"/>
          <w:u w:val="single"/>
        </w:rPr>
        <w:t>Borrowers</w:t>
      </w:r>
      <w:r>
        <w:rPr>
          <w:rFonts w:ascii="Times New Roman;Times;Serif" w:hAnsi="Times New Roman;Times;Serif"/>
          <w:b w:val="false"/>
          <w:i w:val="false"/>
          <w:caps w:val="false"/>
          <w:smallCaps w:val="false"/>
          <w:color w:val="212529"/>
          <w:sz w:val="20"/>
        </w:rPr>
        <w:t>”), entered into the Tenth Amendment to Amended and Restated Credit Agreement (the “</w:t>
      </w:r>
      <w:r>
        <w:rPr>
          <w:rFonts w:ascii="Times New Roman;Times;Serif" w:hAnsi="Times New Roman;Times;Serif"/>
          <w:b w:val="false"/>
          <w:i w:val="false"/>
          <w:caps w:val="false"/>
          <w:smallCaps w:val="false"/>
          <w:color w:val="212529"/>
          <w:sz w:val="20"/>
          <w:u w:val="single"/>
        </w:rPr>
        <w:t>Tenth Amendment</w:t>
      </w:r>
      <w:r>
        <w:rPr>
          <w:rFonts w:ascii="Times New Roman;Times;Serif" w:hAnsi="Times New Roman;Times;Serif"/>
          <w:b w:val="false"/>
          <w:i w:val="false"/>
          <w:caps w:val="false"/>
          <w:smallCaps w:val="false"/>
          <w:color w:val="212529"/>
          <w:sz w:val="20"/>
        </w:rPr>
        <w:t>”) with Wells Fargo Bank, National Association, as administrative agent, and a syndicate of commercial banks for its existing U.S. revolving unsecured credit facility (the “</w:t>
      </w:r>
      <w:r>
        <w:rPr>
          <w:rFonts w:ascii="Times New Roman;Times;Serif" w:hAnsi="Times New Roman;Times;Serif"/>
          <w:b w:val="false"/>
          <w:i w:val="false"/>
          <w:caps w:val="false"/>
          <w:smallCaps w:val="false"/>
          <w:color w:val="212529"/>
          <w:sz w:val="20"/>
          <w:u w:val="single"/>
        </w:rPr>
        <w:t>Credit Facility</w:t>
      </w:r>
      <w:r>
        <w:rPr>
          <w:rFonts w:ascii="Times New Roman;Times;Serif" w:hAnsi="Times New Roman;Times;Serif"/>
          <w:b w:val="false"/>
          <w:i w:val="false"/>
          <w:caps w:val="false"/>
          <w:smallCaps w:val="false"/>
          <w:color w:val="212529"/>
          <w:sz w:val="20"/>
        </w:rPr>
        <w:t>”) to, among other things, increase the total lender commitment, extend the term of the Credit Facility and amend certain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Under the Tenth Amendment, the Credit Facility was amended to allow for borrowings in both U.S. Dollars and Pounds Sterling and the total lender commitment was increased from $700 million to $1.055 billion. The Tenth Amendment also extended the term of the Credit Facility, which previously matured on August 8, 2029, to August 27, 2031, and reduced the unused commitment fee under the Credit Facility. In addition, the permitted consolidated net leverage ratio was increased to 3.5 times consolidated EBITDA for the full term of the agreement. The Tenth Amendment also amended the Credit Facility to provide additional flexibility under the negative covenants thereunder to operate the Company’s and its subsidiaries’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Credit Facility bears interest at different benchmark rates based on the currency of the borrowings, including SONIA (the Sterling Overnight Index Average) for borrowings denominated in Sterling and SOFR (the secured overnight financing rate as administered by the Federal Reserve Bank of New York) for borrowings denominated in U.S. Dollars, in each case, as defined and subject to certain adjustments specified in the Tenth Amendment, as applicable, plus a margin of 2.50% per annum.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preceding description of the Tenth Amendment does not purport to be complete and is qualified in its entirety by the terms and conditions of the Tenth Amendment which is filed as Exhibit 10.1 hereto, and incorporated into this report by reference. In accordance with Item 601(b)(10) of Regulation S-K, certain private or confidential items have been redacted from the filed copy of Exhibit 10.1.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information set forth in Item 1.01 above and the full text of the Tenth Amendment, which is attached hereto as Exhibit 10.1, are incorporated by reference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August 31, 2026, the Company issued a press release announcing the entry into the Tenth Amendment. A copy of the press release is filed as Exhibit 99.1 to this report and is incorporated by reference into this Item 7.01.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information provided in this Item 7.01, including Exhibit 99.1 attached hereto,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8"/>
        <w:gridCol w:w="412"/>
        <w:gridCol w:w="9575"/>
      </w:tblGrid>
      <w:tr>
        <w:trPr/>
        <w:tc>
          <w:tcPr>
            <w:tcW w:w="21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87" w:type="dxa"/>
            <w:gridSpan w:val="2"/>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r>
        <w:trPr/>
        <w:tc>
          <w:tcPr>
            <w:tcW w:w="218"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9575" w:type="dxa"/>
            <w:tcBorders/>
            <w:shd w:fill="FFFFFF" w:val="clear"/>
            <w:vAlign w:val="center"/>
          </w:tcPr>
          <w:p>
            <w:pPr>
              <w:pStyle w:val="TableContents"/>
              <w:bidi w:val="0"/>
              <w:spacing w:before="0" w:after="283"/>
              <w:jc w:val="left"/>
              <w:rPr/>
            </w:pPr>
            <w:r>
              <w:rPr/>
              <w:t> </w:t>
            </w:r>
          </w:p>
        </w:tc>
      </w:tr>
      <w:tr>
        <w:trPr/>
        <w:tc>
          <w:tcPr>
            <w:tcW w:w="218"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both"/>
              <w:rPr/>
            </w:pPr>
            <w:hyperlink w:anchor="tm2624268d1_ex10-1.htm">
              <w:r>
                <w:rPr>
                  <w:rStyle w:val="InternetLink"/>
                  <w:rFonts w:ascii="Times New Roman;Times;Serif" w:hAnsi="Times New Roman;Times;Serif"/>
                  <w:sz w:val="20"/>
                </w:rPr>
                <w:t>10.1*</w:t>
              </w:r>
            </w:hyperlink>
          </w:p>
        </w:tc>
        <w:tc>
          <w:tcPr>
            <w:tcW w:w="9575" w:type="dxa"/>
            <w:tcBorders/>
            <w:shd w:fill="FFFFFF" w:val="clear"/>
            <w:vAlign w:val="center"/>
          </w:tcPr>
          <w:p>
            <w:pPr>
              <w:pStyle w:val="TableContents"/>
              <w:bidi w:val="0"/>
              <w:spacing w:before="0" w:after="283"/>
              <w:jc w:val="both"/>
              <w:rPr/>
            </w:pPr>
            <w:hyperlink w:anchor="tm2624268d1_ex10-1.htm">
              <w:r>
                <w:rPr>
                  <w:rStyle w:val="InternetLink"/>
                  <w:rFonts w:ascii="Times New Roman;Times;Serif" w:hAnsi="Times New Roman;Times;Serif"/>
                  <w:sz w:val="20"/>
                </w:rPr>
                <w:t>Tenth Amendment to Amended and Restated Credit Agreement, dated August 27, 2026, between FirstCash Holdings, Inc., FirstCash, Inc., Chess Holdco Limited, Chess Bidco Limited, certain subsidiaries of the borrowers from time to time party thereto, the lenders party thereto, and Wells Fargo Bank, National Association, as administrative agent.</w:t>
              </w:r>
            </w:hyperlink>
          </w:p>
        </w:tc>
      </w:tr>
      <w:tr>
        <w:trPr/>
        <w:tc>
          <w:tcPr>
            <w:tcW w:w="218"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both"/>
              <w:rPr/>
            </w:pPr>
            <w:r>
              <w:rPr/>
              <w:t> </w:t>
            </w:r>
          </w:p>
        </w:tc>
        <w:tc>
          <w:tcPr>
            <w:tcW w:w="9575" w:type="dxa"/>
            <w:tcBorders/>
            <w:shd w:fill="FFFFFF" w:val="clear"/>
            <w:vAlign w:val="center"/>
          </w:tcPr>
          <w:p>
            <w:pPr>
              <w:pStyle w:val="TableContents"/>
              <w:bidi w:val="0"/>
              <w:spacing w:before="0" w:after="283"/>
              <w:jc w:val="both"/>
              <w:rPr/>
            </w:pPr>
            <w:r>
              <w:rPr/>
              <w:t> </w:t>
            </w:r>
          </w:p>
        </w:tc>
      </w:tr>
      <w:tr>
        <w:trPr/>
        <w:tc>
          <w:tcPr>
            <w:tcW w:w="218"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both"/>
              <w:rPr/>
            </w:pPr>
            <w:hyperlink w:anchor="tm2624268d1_ex99-1.htm">
              <w:r>
                <w:rPr>
                  <w:rStyle w:val="InternetLink"/>
                  <w:rFonts w:ascii="Times New Roman;Times;Serif" w:hAnsi="Times New Roman;Times;Serif"/>
                  <w:sz w:val="20"/>
                </w:rPr>
                <w:t>99.1</w:t>
              </w:r>
            </w:hyperlink>
          </w:p>
        </w:tc>
        <w:tc>
          <w:tcPr>
            <w:tcW w:w="9575" w:type="dxa"/>
            <w:tcBorders/>
            <w:shd w:fill="FFFFFF" w:val="clear"/>
            <w:vAlign w:val="center"/>
          </w:tcPr>
          <w:p>
            <w:pPr>
              <w:pStyle w:val="TableContents"/>
              <w:bidi w:val="0"/>
              <w:spacing w:before="0" w:after="283"/>
              <w:jc w:val="both"/>
              <w:rPr/>
            </w:pPr>
            <w:hyperlink w:anchor="tm2624268d1_ex99-1.htm">
              <w:r>
                <w:rPr>
                  <w:rStyle w:val="InternetLink"/>
                  <w:rFonts w:ascii="Times New Roman;Times;Serif" w:hAnsi="Times New Roman;Times;Serif"/>
                  <w:sz w:val="20"/>
                </w:rPr>
                <w:t>Press release, dated August 31, 2026, announcing the Tenth Amendment.</w:t>
              </w:r>
            </w:hyperlink>
          </w:p>
        </w:tc>
      </w:tr>
      <w:tr>
        <w:trPr/>
        <w:tc>
          <w:tcPr>
            <w:tcW w:w="218"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both"/>
              <w:rPr/>
            </w:pPr>
            <w:r>
              <w:rPr/>
              <w:t> </w:t>
            </w:r>
          </w:p>
        </w:tc>
        <w:tc>
          <w:tcPr>
            <w:tcW w:w="9575" w:type="dxa"/>
            <w:tcBorders/>
            <w:shd w:fill="FFFFFF" w:val="clear"/>
            <w:vAlign w:val="center"/>
          </w:tcPr>
          <w:p>
            <w:pPr>
              <w:pStyle w:val="TableContents"/>
              <w:bidi w:val="0"/>
              <w:spacing w:before="0" w:after="283"/>
              <w:jc w:val="both"/>
              <w:rPr/>
            </w:pPr>
            <w:r>
              <w:rPr/>
              <w:t> </w:t>
            </w:r>
          </w:p>
        </w:tc>
      </w:tr>
      <w:tr>
        <w:trPr/>
        <w:tc>
          <w:tcPr>
            <w:tcW w:w="218"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5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Portions of this exhibit are redacted pursuant to Item 601(b)(10)(iv)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shd w:fill="FFFFFF" w:val="clear"/>
        <w:tblLayout w:type="fixed"/>
        <w:tblCellMar>
          <w:top w:w="0" w:type="dxa"/>
          <w:left w:w="0" w:type="dxa"/>
          <w:bottom w:w="0" w:type="dxa"/>
          <w:right w:w="0" w:type="dxa"/>
        </w:tblCellMar>
      </w:tblPr>
      <w:tblGrid>
        <w:gridCol w:w="1970"/>
        <w:gridCol w:w="4325"/>
      </w:tblGrid>
      <w:tr>
        <w:trPr/>
        <w:tc>
          <w:tcPr>
            <w:tcW w:w="1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31, 2026</w:t>
            </w:r>
          </w:p>
        </w:tc>
        <w:tc>
          <w:tcPr>
            <w:tcW w:w="4325" w:type="dxa"/>
            <w:tcBorders/>
            <w:shd w:fill="FFFFFF" w:val="cle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FIRSTCASH HOLDINGS, INC.</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(Registrant)</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 DOUGLAS ORR</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 Douglas Orr</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7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Principal Financial and Accounting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4268d1_ex10-1.htm"/>
      <w:bookmarkStart w:id="23" w:name="kstm2624268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information in this document has been omitted from this exhibit because it is both (i)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TENTH AMENDMENT TO AMENDED AND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TENTH AMENDMENT TO AMENDED AND RESTATED CREDIT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Tenth Amendment</w:t>
      </w:r>
      <w:r>
        <w:rPr>
          <w:rFonts w:ascii="Times New Roman;Times;Serif" w:hAnsi="Times New Roman;Times;Serif"/>
          <w:b w:val="false"/>
          <w:i w:val="false"/>
          <w:caps w:val="false"/>
          <w:smallCaps w:val="false"/>
          <w:sz w:val="20"/>
        </w:rPr>
        <w:t xml:space="preserve">”), dated as of August 27, 2026, is by and among </w:t>
      </w:r>
      <w:r>
        <w:rPr>
          <w:rFonts w:ascii="Times New Roman;Times;Serif" w:hAnsi="Times New Roman;Times;Serif"/>
          <w:b/>
          <w:i w:val="false"/>
          <w:caps w:val="false"/>
          <w:smallCaps w:val="false"/>
          <w:sz w:val="20"/>
        </w:rPr>
        <w:t>FIRSTCASH, INC. (f/k/a FIRST CASH FINANCIAL SERVICES,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US Borrower</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Borrower Representative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Chess Holdco Limited</w:t>
      </w:r>
      <w:r>
        <w:rPr>
          <w:rFonts w:ascii="Times New Roman;Times;Serif" w:hAnsi="Times New Roman;Times;Serif"/>
          <w:b w:val="false"/>
          <w:i w:val="false"/>
          <w:caps w:val="false"/>
          <w:smallCaps w:val="false"/>
          <w:sz w:val="20"/>
        </w:rPr>
        <w:t>, a company incorporated under the laws of England and Wales with company number 16434482 (“</w:t>
      </w:r>
      <w:r>
        <w:rPr>
          <w:rFonts w:ascii="Times New Roman;Times;Serif" w:hAnsi="Times New Roman;Times;Serif"/>
          <w:b w:val="false"/>
          <w:i w:val="false"/>
          <w:caps w:val="false"/>
          <w:smallCaps w:val="false"/>
          <w:sz w:val="20"/>
          <w:u w:val="single"/>
        </w:rPr>
        <w:t>Chess Holdco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sz w:val="20"/>
        </w:rPr>
        <w:t>Chess Bidco Limited</w:t>
      </w:r>
      <w:r>
        <w:rPr>
          <w:rFonts w:ascii="Times New Roman;Times;Serif" w:hAnsi="Times New Roman;Times;Serif"/>
          <w:b w:val="false"/>
          <w:i w:val="false"/>
          <w:caps w:val="false"/>
          <w:smallCaps w:val="false"/>
          <w:sz w:val="20"/>
        </w:rPr>
        <w:t>, a company incorporated under the laws of England and Wales with company number 16434757 (“</w:t>
      </w:r>
      <w:r>
        <w:rPr>
          <w:rFonts w:ascii="Times New Roman;Times;Serif" w:hAnsi="Times New Roman;Times;Serif"/>
          <w:b w:val="false"/>
          <w:i w:val="false"/>
          <w:caps w:val="false"/>
          <w:smallCaps w:val="false"/>
          <w:sz w:val="20"/>
          <w:u w:val="single"/>
        </w:rPr>
        <w:t>Chess Bidco</w:t>
      </w:r>
      <w:r>
        <w:rPr>
          <w:rFonts w:ascii="Times New Roman;Times;Serif" w:hAnsi="Times New Roman;Times;Serif"/>
          <w:b w:val="false"/>
          <w:i w:val="false"/>
          <w:caps w:val="false"/>
          <w:smallCaps w:val="false"/>
          <w:sz w:val="20"/>
        </w:rPr>
        <w:t>” and, together with Chess Holdco, collectively, the “</w:t>
      </w:r>
      <w:r>
        <w:rPr>
          <w:rFonts w:ascii="Times New Roman;Times;Serif" w:hAnsi="Times New Roman;Times;Serif"/>
          <w:b w:val="false"/>
          <w:i w:val="false"/>
          <w:caps w:val="false"/>
          <w:smallCaps w:val="false"/>
          <w:sz w:val="20"/>
          <w:u w:val="single"/>
        </w:rPr>
        <w:t>UK Borrowers</w:t>
      </w:r>
      <w:r>
        <w:rPr>
          <w:rFonts w:ascii="Times New Roman;Times;Serif" w:hAnsi="Times New Roman;Times;Serif"/>
          <w:b w:val="false"/>
          <w:i w:val="false"/>
          <w:caps w:val="false"/>
          <w:smallCaps w:val="false"/>
          <w:sz w:val="20"/>
        </w:rPr>
        <w:t>”; the UK Borrowers, together with the US Borrower, collectively,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FIRSTCASH HOLDINGS, INC.</w:t>
      </w:r>
      <w:r>
        <w:rPr>
          <w:rFonts w:ascii="Times New Roman;Times;Serif" w:hAnsi="Times New Roman;Times;Serif"/>
          <w:b w:val="false"/>
          <w:i w:val="false"/>
          <w:caps w:val="false"/>
          <w:smallCaps w:val="false"/>
          <w:sz w:val="20"/>
        </w:rPr>
        <w:t>, a Texas corporation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certain Subsidiaries of the US Borrower and UK Borrowers party hereto (collectively, the “</w:t>
      </w:r>
      <w:r>
        <w:rPr>
          <w:rFonts w:ascii="Times New Roman;Times;Serif" w:hAnsi="Times New Roman;Times;Serif"/>
          <w:b w:val="false"/>
          <w:i w:val="false"/>
          <w:caps w:val="false"/>
          <w:smallCaps w:val="false"/>
          <w:sz w:val="20"/>
          <w:u w:val="single"/>
        </w:rPr>
        <w:t>Loan Guarantors</w:t>
      </w:r>
      <w:r>
        <w:rPr>
          <w:rFonts w:ascii="Times New Roman;Times;Serif" w:hAnsi="Times New Roman;Times;Serif"/>
          <w:b w:val="false"/>
          <w:i w:val="false"/>
          <w:caps w:val="false"/>
          <w:smallCaps w:val="false"/>
          <w:sz w:val="20"/>
        </w:rPr>
        <w:t>”), the lenders identified on the signature pages hereto as the Lenders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WELLS FARGO BANK, NATIONAL ASSOCIATION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Wells Fargo</w:t>
      </w:r>
      <w:r>
        <w:rPr>
          <w:rFonts w:ascii="Times New Roman;Times;Serif" w:hAnsi="Times New Roman;Times;Serif"/>
          <w:b w:val="false"/>
          <w:i w:val="false"/>
          <w:caps w:val="false"/>
          <w:smallCaps w:val="false"/>
          <w:sz w:val="20"/>
        </w:rPr>
        <w:t>”), as administrative agent on behalf of the Lenders under the Credit Agreement (as hereinafter defined) (in such capacity,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Capitalized terms used herein and not otherwise defined herein shall have the meanings ascribed thereto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US Borrower, the Loan Guarantors party thereto, the Lenders and the Agent are parties to that certain Amended and Restated Credit Agreement, dated as of July 25, 2016 (as amended, modified, extended, restated, replaced, or supplemented from time to time prior to the date hereof,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and as amended by this Tenth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Borrower Representative, on behalf of itself and the other Loan Parties, acknowledges and confirms that: (a) the Loan Parties, at their own exclusive initiative and for their own independent business purposes (including, without limitation, in connection with the provision of banking services), and without having been solicited, promoted to, advertised to, or otherwise approached (whether directly or through any agent, intermediary, delegate or other Person acting on its own behalf or having close links with, or any other Person acting on behalf of, the Agent or any Lender (or any Affiliate, Approved Fund or representative thereof)), and without any direct or indirect prior marketing, solicitation, promotion, advertising, outreach or other equivalent or similar activity by or on behalf of the Agent or any Lender having preceded, prompted or otherwise influenced, in each case, directly or indirectly, such initiative, requested that the Lenders amend the Existing Credit Agreement to, inter alia, permit the designation of Additional Borrowers organized in Approved Jurisdictions, including certain Approved Jurisdictions that are EEA Member Countries, in each case, as more fully set forth herein; and (b) (i) such request was independently determined by the Borrower Representative and the other Loan Parties based on their own assessment of their respective business and financing needs, (ii) certain of the Lenders may not be separately authorized under the Laws of such EEA Member Countries to provide banking services therein, and (iii) the Borrower Representative and the other Loan Parties have not been induced or encouraged, in each case, directly or indirectly, to make such request by any prior course of dealing, communication or relationship with any Lender or the Agent or any Affiliate, Approved Fund or representative thereof (the acknowledgment and confirmation set forth in this paragraph, the “</w:t>
      </w:r>
      <w:r>
        <w:rPr>
          <w:rFonts w:ascii="Times New Roman;Times;Serif" w:hAnsi="Times New Roman;Times;Serif"/>
          <w:b w:val="false"/>
          <w:i w:val="false"/>
          <w:caps w:val="false"/>
          <w:smallCaps w:val="false"/>
          <w:sz w:val="20"/>
          <w:u w:val="single"/>
        </w:rPr>
        <w:t>Tenth Amendment Non-Solicitation Acknowledgment and Confirmation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Loan Parties have requested that the Lenders amend certain other provisions of the Existing Credit Agreement as more fully set forth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Lenders, the Alternative Currency Lenders, the L/C Issuer and the Agent are willing to make such amendments to the Credit Agreement and otherwise agree to the transactions contemplated hereby, in each case in accordance with and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agreements hereinafter set forth, and for other good and valuable consideration, the receipt and adequacy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AMENDMENTS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Amendments to Credit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From and after the Tenth Amendment Effective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Existing Credit Agreement is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to add the underlined text (indicated textually in the same manner as the following example: </w:t>
      </w:r>
      <w:r>
        <w:rPr>
          <w:rFonts w:ascii="Times New Roman;Times;Serif" w:hAnsi="Times New Roman;Times;Serif"/>
          <w:b w:val="false"/>
          <w:i w:val="false"/>
          <w:caps w:val="false"/>
          <w:smallCaps w:val="false"/>
          <w:color w:val="0000FF"/>
          <w:sz w:val="20"/>
          <w:u w:val="single"/>
        </w:rPr>
        <w:t>underlined text</w:t>
      </w:r>
      <w:r>
        <w:rPr>
          <w:rFonts w:ascii="Times New Roman;Times;Serif" w:hAnsi="Times New Roman;Times;Serif"/>
          <w:b w:val="false"/>
          <w:i w:val="false"/>
          <w:caps w:val="false"/>
          <w:smallCaps w:val="false"/>
          <w:sz w:val="20"/>
        </w:rPr>
        <w:t xml:space="preserve">), and to move the green text (indicated textually in the same manner as the following example: </w:t>
      </w:r>
      <w:r>
        <w:rPr>
          <w:rFonts w:ascii="Times New Roman;Times;Serif" w:hAnsi="Times New Roman;Times;Serif"/>
          <w:b w:val="false"/>
          <w:i/>
          <w:caps w:val="false"/>
          <w:smallCaps w:val="false"/>
          <w:strike/>
          <w:color w:val="00B050"/>
          <w:sz w:val="20"/>
        </w:rPr>
        <w:t>moved text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color w:val="00B050"/>
          <w:sz w:val="20"/>
        </w:rPr>
        <w:t>moved text</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Schedule 3 to the Existing Credit Agreement (</w:t>
      </w:r>
      <w:r>
        <w:rPr>
          <w:rFonts w:ascii="Times New Roman;Times;Serif" w:hAnsi="Times New Roman;Times;Serif"/>
          <w:b w:val="false"/>
          <w:i/>
          <w:caps w:val="false"/>
          <w:smallCaps w:val="false"/>
          <w:sz w:val="20"/>
        </w:rPr>
        <w:t>Commitment Schedule</w:t>
      </w:r>
      <w:r>
        <w:rPr>
          <w:rFonts w:ascii="Times New Roman;Times;Serif" w:hAnsi="Times New Roman;Times;Serif"/>
          <w:b w:val="false"/>
          <w:i w:val="false"/>
          <w:caps w:val="false"/>
          <w:smallCaps w:val="false"/>
          <w:sz w:val="20"/>
        </w:rPr>
        <w:t xml:space="preserve">) is amended and restated in its entirety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Exhibit “A” to the Existing Credit Agreement (</w:t>
      </w:r>
      <w:r>
        <w:rPr>
          <w:rFonts w:ascii="Times New Roman;Times;Serif" w:hAnsi="Times New Roman;Times;Serif"/>
          <w:b w:val="false"/>
          <w:i/>
          <w:caps w:val="false"/>
          <w:smallCaps w:val="false"/>
          <w:sz w:val="20"/>
        </w:rPr>
        <w:t>Form of Compliance Certificate</w:t>
      </w:r>
      <w:r>
        <w:rPr>
          <w:rFonts w:ascii="Times New Roman;Times;Serif" w:hAnsi="Times New Roman;Times;Serif"/>
          <w:b w:val="false"/>
          <w:i w:val="false"/>
          <w:caps w:val="false"/>
          <w:smallCaps w:val="false"/>
          <w:sz w:val="20"/>
        </w:rPr>
        <w:t xml:space="preserve">) is amended and restated in its entirety as set forth on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 “F” to the Existing Credit Agreement (</w:t>
      </w:r>
      <w:r>
        <w:rPr>
          <w:rFonts w:ascii="Times New Roman;Times;Serif" w:hAnsi="Times New Roman;Times;Serif"/>
          <w:b w:val="false"/>
          <w:i/>
          <w:caps w:val="false"/>
          <w:smallCaps w:val="false"/>
          <w:sz w:val="20"/>
        </w:rPr>
        <w:t>Form of Borrowing Notice</w:t>
      </w:r>
      <w:r>
        <w:rPr>
          <w:rFonts w:ascii="Times New Roman;Times;Serif" w:hAnsi="Times New Roman;Times;Serif"/>
          <w:b w:val="false"/>
          <w:i w:val="false"/>
          <w:caps w:val="false"/>
          <w:smallCaps w:val="false"/>
          <w:sz w:val="20"/>
        </w:rPr>
        <w:t xml:space="preserve">) is amended and restated in its entirety as set forth on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Exhibit “C” to the Existing Credit Agreement (</w:t>
      </w:r>
      <w:r>
        <w:rPr>
          <w:rFonts w:ascii="Times New Roman;Times;Serif" w:hAnsi="Times New Roman;Times;Serif"/>
          <w:b w:val="false"/>
          <w:i/>
          <w:caps w:val="false"/>
          <w:smallCaps w:val="false"/>
          <w:sz w:val="20"/>
        </w:rPr>
        <w:t>Form of Assignment and Assumption</w:t>
      </w:r>
      <w:r>
        <w:rPr>
          <w:rFonts w:ascii="Times New Roman;Times;Serif" w:hAnsi="Times New Roman;Times;Serif"/>
          <w:b w:val="false"/>
          <w:i w:val="false"/>
          <w:caps w:val="false"/>
          <w:smallCaps w:val="false"/>
          <w:sz w:val="20"/>
        </w:rPr>
        <w:t xml:space="preserve">) is amended and restated in its entirety as set forth on </w:t>
      </w:r>
      <w:r>
        <w:rPr>
          <w:rFonts w:ascii="Times New Roman;Times;Serif" w:hAnsi="Times New Roman;Times;Serif"/>
          <w:b w:val="false"/>
          <w:i w:val="false"/>
          <w:caps w:val="false"/>
          <w:smallCaps w:val="false"/>
          <w:sz w:val="20"/>
          <w:u w:val="single"/>
        </w:rPr>
        <w:t>Annex E</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Exhibit “E” to the Existing Credit Agreement (</w:t>
      </w:r>
      <w:r>
        <w:rPr>
          <w:rFonts w:ascii="Times New Roman;Times;Serif" w:hAnsi="Times New Roman;Times;Serif"/>
          <w:b w:val="false"/>
          <w:i/>
          <w:caps w:val="false"/>
          <w:smallCaps w:val="false"/>
          <w:sz w:val="20"/>
        </w:rPr>
        <w:t>Form of Promissory Note</w:t>
      </w:r>
      <w:r>
        <w:rPr>
          <w:rFonts w:ascii="Times New Roman;Times;Serif" w:hAnsi="Times New Roman;Times;Serif"/>
          <w:b w:val="false"/>
          <w:i w:val="false"/>
          <w:caps w:val="false"/>
          <w:smallCaps w:val="false"/>
          <w:sz w:val="20"/>
        </w:rPr>
        <w:t xml:space="preserve">) is amended and restated in its entirety as set forth on </w:t>
      </w:r>
      <w:r>
        <w:rPr>
          <w:rFonts w:ascii="Times New Roman;Times;Serif" w:hAnsi="Times New Roman;Times;Serif"/>
          <w:b w:val="false"/>
          <w:i w:val="false"/>
          <w:caps w:val="false"/>
          <w:smallCaps w:val="false"/>
          <w:sz w:val="20"/>
          <w:u w:val="single"/>
        </w:rPr>
        <w:t>Annex F</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Schedules 1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 2 (</w:t>
      </w:r>
      <w:r>
        <w:rPr>
          <w:rFonts w:ascii="Times New Roman;Times;Serif" w:hAnsi="Times New Roman;Times;Serif"/>
          <w:b w:val="false"/>
          <w:i/>
          <w:caps w:val="false"/>
          <w:smallCaps w:val="false"/>
          <w:sz w:val="20"/>
        </w:rPr>
        <w:t>Indebtedness and Liens</w:t>
      </w:r>
      <w:r>
        <w:rPr>
          <w:rFonts w:ascii="Times New Roman;Times;Serif" w:hAnsi="Times New Roman;Times;Serif"/>
          <w:b w:val="false"/>
          <w:i w:val="false"/>
          <w:caps w:val="false"/>
          <w:smallCaps w:val="false"/>
          <w:sz w:val="20"/>
        </w:rPr>
        <w:t>), 4 (</w:t>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 5 (</w:t>
      </w:r>
      <w:r>
        <w:rPr>
          <w:rFonts w:ascii="Times New Roman;Times;Serif" w:hAnsi="Times New Roman;Times;Serif"/>
          <w:b w:val="false"/>
          <w:i/>
          <w:caps w:val="false"/>
          <w:smallCaps w:val="false"/>
          <w:sz w:val="20"/>
        </w:rPr>
        <w:t>Investments</w:t>
      </w:r>
      <w:r>
        <w:rPr>
          <w:rFonts w:ascii="Times New Roman;Times;Serif" w:hAnsi="Times New Roman;Times;Serif"/>
          <w:b w:val="false"/>
          <w:i w:val="false"/>
          <w:caps w:val="false"/>
          <w:smallCaps w:val="false"/>
          <w:sz w:val="20"/>
        </w:rPr>
        <w:t>) and 6 (</w:t>
      </w:r>
      <w:r>
        <w:rPr>
          <w:rFonts w:ascii="Times New Roman;Times;Serif" w:hAnsi="Times New Roman;Times;Serif"/>
          <w:b w:val="false"/>
          <w:i/>
          <w:caps w:val="false"/>
          <w:smallCaps w:val="false"/>
          <w:sz w:val="20"/>
        </w:rPr>
        <w:t>Sales, Transfers and Other Dispositions</w:t>
      </w:r>
      <w:r>
        <w:rPr>
          <w:rFonts w:ascii="Times New Roman;Times;Serif" w:hAnsi="Times New Roman;Times;Serif"/>
          <w:b w:val="false"/>
          <w:i w:val="false"/>
          <w:caps w:val="false"/>
          <w:smallCaps w:val="false"/>
          <w:sz w:val="20"/>
        </w:rPr>
        <w:t xml:space="preserve">) to the Existing Credit Agreement are hereby amended and restated in their respective entirety as set forth on </w:t>
      </w:r>
      <w:r>
        <w:rPr>
          <w:rFonts w:ascii="Times New Roman;Times;Serif" w:hAnsi="Times New Roman;Times;Serif"/>
          <w:b w:val="false"/>
          <w:i w:val="false"/>
          <w:caps w:val="false"/>
          <w:smallCaps w:val="false"/>
          <w:sz w:val="20"/>
          <w:u w:val="single"/>
        </w:rPr>
        <w:t>Annex G</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Commitments; Alternative Currency Commitments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hereof and in reliance upon the representations and warranties set forth herein, as of the Tenth Amendment Effective Date, the Aggregate Commitment (as in effect immediately prior to the Tenth Amendment Effective Date) shall be increased by an aggregate principal amount equal to $355,000,000.00 (the “</w:t>
      </w:r>
      <w:r>
        <w:rPr>
          <w:rFonts w:ascii="Times New Roman;Times;Serif" w:hAnsi="Times New Roman;Times;Serif"/>
          <w:b w:val="false"/>
          <w:i w:val="false"/>
          <w:caps w:val="false"/>
          <w:smallCaps w:val="false"/>
          <w:sz w:val="20"/>
          <w:u w:val="single"/>
        </w:rPr>
        <w:t>Tenth Amendment Commitment Increase</w:t>
      </w:r>
      <w:r>
        <w:rPr>
          <w:rFonts w:ascii="Times New Roman;Times;Serif" w:hAnsi="Times New Roman;Times;Serif"/>
          <w:b w:val="false"/>
          <w:i w:val="false"/>
          <w:caps w:val="false"/>
          <w:smallCaps w:val="false"/>
          <w:sz w:val="20"/>
        </w:rPr>
        <w:t xml:space="preserve">”). Each of the parties hereto agrees that, after giving effect to this Tenth Amendment (including, without limitation,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hereof) and the Tenth Amendment Commitment Increase (and any repayments or refinancings of outstanding Loans and unused Commitments held by applicable existing Lenders immediately prior to the effectiveness of this Tenth Amendment), (a) the revised Commitment and Pro Rata Share of each Lender (including any New Lender) shall be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 (b) the Alternative Currency Commitment and Alternative Currency Pro Rata Share of each Alternative Currency Lender shall be as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 and (c) each Lender identified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as an “Alternative Currency Lender” is hereby designated as an Alternative Currency Lender under the Credit Agreement. The Alternative Currency Commitments constitute a subfacility of the existing revolving credit facility and are part of, and not in addition to, the Commitment of each applicable Lender and the Aggregate Commitment. In connection with this Tenth Amendment, the outstanding Loans denominated in Dollars and participation interests in existing Letters of Credit denominated in Dollars shall be reallocated among all Lenders by causing such fundings and repayments (which shall not be subject to any processing and/or recordation fees) as are necessary such that, after giving effect to this Tenth Amendment and the Tenth Amendment Commitment Increase, each Lender will hold such Loans and participation interests based on its Pro Rata Share. Alternative Currency Loans and participation interests in Letters of Credit denominated in Alternative Currencies shall be made, held and, as applicable, reallocated only among the Alternative Currency Lenders based on their respective Alternative Currency Pro Rata Shares, and no Lender that is not an Alternative Currency Lender shall be required to make, hold or fund any Alternative Currency Loan or any participation interest in any Letter of Credit denominated in an Alternative Currency. The Borrowers shall be responsible for any costs arising under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the Credit Agreement resulting from such reallocation and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Use of Incremental Increase Amount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increase in the Aggregate Commitment effected pursuant to this Tenth Amendment is being effected solely pursuant to this Tenth Amendment and the consents set forth herein, and shall not constitute a Revolving Facility Increase under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of the Credit Agreement. For the avoidance of doubt, the Tenth Amendment Commitment Increase shall not use, reduce or count against the Incremental Increase Amount or otherwise affect the Borrower Representative’s ability to request a Revolving Facility Increase after the Tenth Amendment Effective Date, in each case subject to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Lender Joinder; Alternative Currency Lender Designation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Upon execution of this Tenth Amendment, each Lender identified on Schedule 1.4 hereto (each a “</w:t>
      </w:r>
      <w:r>
        <w:rPr>
          <w:rFonts w:ascii="Times New Roman;Times;Serif" w:hAnsi="Times New Roman;Times;Serif"/>
          <w:b w:val="false"/>
          <w:i w:val="false"/>
          <w:caps w:val="false"/>
          <w:smallCaps w:val="false"/>
          <w:sz w:val="20"/>
          <w:u w:val="single"/>
        </w:rPr>
        <w:t>New Lender</w:t>
      </w:r>
      <w:r>
        <w:rPr>
          <w:rFonts w:ascii="Times New Roman;Times;Serif" w:hAnsi="Times New Roman;Times;Serif"/>
          <w:b w:val="false"/>
          <w:i w:val="false"/>
          <w:caps w:val="false"/>
          <w:smallCaps w:val="false"/>
          <w:sz w:val="20"/>
        </w:rPr>
        <w:t xml:space="preserve">”) shall be a party to the Credit Agreement and have all of the rights and obligations of a Lender thereunder and under the other Loan Documents, in each case with the Commitment, Pro Rata Share, and, if applicable, Alternative Currency Commitment, Alternative Currency Pro Rata Share and Alternative Currency Lender status set forth for such New Lender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 Each New Lender (a) represents and warrants that it is legally authorized to enter into this Tenth Amendment and that this Tenth Amendment is the legal, valid and binding obligation of such New Lender, enforceable against it in accordance with its terms; (b) confirms that it has received a copy of the Credit Agreement, this Tenth Amendment and all of the Exhibits and Schedules thereto, and such other documents and information as it has deemed appropriate to make its own credit analysis and decision to enter into this Tenth Amendment; (c) agrees that it will, independently and without reliance upon the Agent or any other Lender and based on such documents and information as it shall deem appropriate at the time, continue to make its own credit decisions in taking or not taking action under the Credit Agreement, the other Loan Documents or any other instrument or document furnished pursuant hereto or thereto; and (d) agrees that it will be bound by the provisions of the Credit Agreement and will perform in accordance with its terms all obligations which by the terms of the Credit Agreement are required to be performed by it as a Lender. Without limiting the foregoing, each New Lender with an Alternative Currency Commitment as set forth on </w:t>
      </w:r>
      <w:r>
        <w:rPr>
          <w:rFonts w:ascii="Times New Roman;Times;Serif" w:hAnsi="Times New Roman;Times;Serif"/>
          <w:b w:val="false"/>
          <w:i w:val="false"/>
          <w:caps w:val="false"/>
          <w:smallCaps w:val="false"/>
          <w:sz w:val="20"/>
          <w:u w:val="single"/>
        </w:rPr>
        <w:t xml:space="preserve">Annex B </w:t>
      </w:r>
      <w:r>
        <w:rPr>
          <w:rFonts w:ascii="Times New Roman;Times;Serif" w:hAnsi="Times New Roman;Times;Serif"/>
          <w:b w:val="false"/>
          <w:i w:val="false"/>
          <w:caps w:val="false"/>
          <w:smallCaps w:val="false"/>
          <w:sz w:val="20"/>
        </w:rPr>
        <w:t>is hereby designated as an Alternative Currency Lender and agrees to make, hold and fund Alternative Currency Loans and participation interests in Letters of Credit denominated in Alternative Currencies in accordance with the Credit Agreement and this Tenth Amendment. Each of the Loan Parties agrees that, as of the Tenth Amendment Effective Date, each New Lender shall (a) be a party to the Credit Agreement and the other Loan Documents (as applicable), (b) be a “Lender” for all purposes of the Credit Agreement and the other Loan Documents and, if applicable, an “Alternative Currency Lender” for all purposes of the Credit Agreement and the other Loan Documents, and (c) have the rights and obligations of a Lender and, if applicable, an Alternative Currency Lender under the Credit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CONDITIONS TO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Tenth Amendment shall become effective as of the day and year set forth above (the “</w:t>
      </w:r>
      <w:r>
        <w:rPr>
          <w:rFonts w:ascii="Times New Roman;Times;Serif" w:hAnsi="Times New Roman;Times;Serif"/>
          <w:b w:val="false"/>
          <w:i w:val="false"/>
          <w:caps w:val="false"/>
          <w:smallCaps w:val="false"/>
          <w:sz w:val="20"/>
          <w:u w:val="single"/>
        </w:rPr>
        <w:t>Tenth Amendment Effective Date</w:t>
      </w:r>
      <w:r>
        <w:rPr>
          <w:rFonts w:ascii="Times New Roman;Times;Serif" w:hAnsi="Times New Roman;Times;Serif"/>
          <w:b w:val="false"/>
          <w:i w:val="false"/>
          <w:caps w:val="false"/>
          <w:smallCaps w:val="false"/>
          <w:sz w:val="20"/>
        </w:rPr>
        <w:t>”) upon satisfaction of the following conditions (in each case, in form and substance reasonably acceptable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Executed Amendment; Required Approvals</w:t>
      </w:r>
      <w:r>
        <w:rPr>
          <w:rFonts w:ascii="Times New Roman;Times;Serif" w:hAnsi="Times New Roman;Times;Serif"/>
          <w:b w:val="false"/>
          <w:i w:val="false"/>
          <w:caps w:val="false"/>
          <w:smallCaps w:val="false"/>
          <w:sz w:val="20"/>
        </w:rPr>
        <w:t>. The Agent shall have received a copy of this Tenth Amendment duly executed by each of the Loan Parties, the Lenders party hereto (including each Lender providing any portion of the Tenth Amendment Commitment Increase and each Alternative Currency Lender), the L/C Issuer and the Agent, together with evidence of all approvals and consents required under the Credit Agreement and this Tenth Amendment from the Lenders, the Agent and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The Agent shall have received an agreed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setting forth each Lender’s Commitment, Pro Rata Share, Alternative Currency Commitment, Alternative Currency Pro Rata Share and Alternative Currency Lender status after giving effect to this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After giving effect to this Tenth Amendment, no Default or Unmatured Default shall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Agent shall have received from the Borrower (i) the fees agreed to between the Lenders and the Borrower related to this Tenth Amendment (including, for the avoidance of doubt, the fees set forth in that certain Engagement Letter, dated as of July 20, 2026, by and among the US Borrower, Wells Fargo and Wells Fargo Securities, LLC) and (ii) such other fees and expenses that are payable in connection with the consummation of the transactions contemplated hereby and King &amp; Spalding LLP shall have received from the Borrower payment of all outstanding fees and expenses previously incurred and all fees and expenses incurred in connection with this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Loan Party Documents</w:t>
      </w:r>
      <w:r>
        <w:rPr>
          <w:rFonts w:ascii="Times New Roman;Times;Serif" w:hAnsi="Times New Roman;Times;Serif"/>
          <w:b w:val="false"/>
          <w:i w:val="false"/>
          <w:caps w:val="false"/>
          <w:smallCaps w:val="false"/>
          <w:sz w:val="20"/>
        </w:rPr>
        <w:t>. The Loan Parties shall have furnished to the Agent: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Either (x) a certificate of an officer or other authorized signatory of each Loan Party certifying that its organizational documents (or, in the case of each UK Loan Party, its constitutional documents, being its certificate of incorporation, any certificate of incorporation on change of name, and its memorandum and articles of association) have not been amended, restated or otherwise modified since the Closing Date or the most recent date such documents were delivered to the Agent or (y) copies of such organizational documents (or, in the case of each UK Loan Party, its constitutional documents), together with all amendments, in each case certified: (A) with respect to each Loan Party other than a UK Loan Party, by the appropriate Governmental Authority or otherwise in a manner reasonably acceptable to the Agent; and (B) with respect to each UK Loan Party, as a true, complete and up-to-date copy by a director of such UK Loan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t>For each Loan Party, resolutions or other actions of its Board of Directors or other governing body (or, in the case of each UK Loan Party, its board of directors and its shareholder(s)) authorizing the execution, delivery and performance of this Tenth Amendment and any other Loan Documents to which such Loan Party is a party, and incumbency or specimen signature certificates for the authorized signatories executing such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(iii)</w:t>
            </w:r>
          </w:p>
        </w:tc>
        <w:tc>
          <w:tcPr>
            <w:tcW w:w="9881" w:type="dxa"/>
            <w:tcBorders/>
            <w:vAlign w:val="center"/>
          </w:tcPr>
          <w:p>
            <w:pPr>
              <w:pStyle w:val="TableContents"/>
              <w:bidi w:val="0"/>
              <w:spacing w:before="0" w:after="283"/>
              <w:jc w:val="both"/>
              <w:rPr/>
            </w:pPr>
            <w:r>
              <w:rPr/>
              <w:t>Certificates of good standing, existence or the equivalent with respect to each Loan Party (other than a UK Loan Party) certified as of a recent date by the appropriate Governmental Authorities of its jurisdiction of incorporation or organization and each other jurisdiction in which the failure to so qualify and be in good standing could reasonably be expected to have a Material Adverse Effect, including, with respect to each UK Loan Party, customary Companies House searches and other status evidence reasonably requested by the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(iv)</w:t>
            </w:r>
          </w:p>
        </w:tc>
        <w:tc>
          <w:tcPr>
            <w:tcW w:w="9882" w:type="dxa"/>
            <w:tcBorders/>
            <w:vAlign w:val="center"/>
          </w:tcPr>
          <w:p>
            <w:pPr>
              <w:pStyle w:val="TableContents"/>
              <w:bidi w:val="0"/>
              <w:spacing w:before="0" w:after="283"/>
              <w:jc w:val="both"/>
              <w:rPr/>
            </w:pPr>
            <w:r>
              <w:rPr/>
              <w:t>An opinion or opinions (including local counsel opinions) of counsel for the Loan Parties dated the date hereof and addressed to the Agent and the Lenders, in form and substance reasonably acceptable to the Agent, including, without limitation, opinions with respect to the due organization (or incorporation (as applicable)) and valid existence of each such Loan Party, the authorization, execution and delivery of this Tenth Amendment and any other applicable Loan Documents and the non-contravention of such Loan Party’s organizational documents (or constitutional documents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Tax, KYC and Beneficial Ownership Deliverables</w:t>
      </w:r>
      <w:r>
        <w:rPr>
          <w:rFonts w:ascii="Times New Roman;Times;Serif" w:hAnsi="Times New Roman;Times;Serif"/>
          <w:b w:val="false"/>
          <w:i w:val="false"/>
          <w:caps w:val="false"/>
          <w:smallCaps w:val="false"/>
          <w:sz w:val="20"/>
        </w:rPr>
        <w:t xml:space="preserve">. The Agent and each Lender shall have received, to the extent reasonably requested at least three (3) Business Days prior to the Tenth Amendment Effective Date, all documentation and other information required by regulatory authorities under applicable “know your customer,” anti-money laundering, beneficial ownership and sanctions rules and regulations, including the Patriot Act and the Beneficial Ownership Regulation, and all applicable tax forms and withholding certificates required under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of the Credit Agreement or otherwise reasonably requested by the Agent or any Lender in connection with the UK Borrowers, any New Lender or the Alternative Currency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The Agent shall have received such other certificates, documents, instruments and agreements as the Agent, the L/C Issuer or any Lender may reasonably request in connection with the UK Borrowers, the Tenth Amendment Commitment Increase, the Alternative Currency Commitments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UK Borrowers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UK Borrowers hereby acknowledges, agrees and confirms that, by its execution of this Agreement, as of the Tenth Amendment Effective Date, such UK Borrower will be deemed to be a party to the Credit Agreement as a “Borrower” for all purposes of the Credit Agreement and the other Loan Documents, and shall have all of the obligations of a Borrower thereunder, with the same force and effect as if originally named in the Existing Credit Agreement as a Borrower. Each UK Borrower hereby ratifies, as of the date hereof, and agrees to be bound by, all of the terms, provisions and conditions applicable to the Borrowers contained in the Credit Agreement, and shall be jointly and severally liable as a primary obligor for all Obligations, including all Obligations of each other Borrower, whether arising before, on or after the Tenth Amendment Effective Date. Without limiting the generality of the foregoing terms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each UK Borrower hereby unconditionally promises to pay to each of the Agent, each Lender, and each other holder of the Obligations, the Obligations when due, as provided in the Credit Agreement (whether at stated maturity, as a mandatory prepayment, by acceleration, or otherwise) strictly in accordance with the terms thereof. Each UK Borrower hereby appoints the Borrower Representative as its agent and representative for all purposes of the Credit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Guarantors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(i) Harvey &amp; Thompson Limited, a company incorporated under the laws of England and Wales (“</w:t>
      </w:r>
      <w:r>
        <w:rPr>
          <w:rFonts w:ascii="Times New Roman;Times;Serif" w:hAnsi="Times New Roman;Times;Serif"/>
          <w:b w:val="false"/>
          <w:i w:val="false"/>
          <w:caps w:val="false"/>
          <w:smallCaps w:val="false"/>
          <w:sz w:val="20"/>
          <w:u w:val="single"/>
        </w:rPr>
        <w:t>H&amp;T</w:t>
      </w:r>
      <w:r>
        <w:rPr>
          <w:rFonts w:ascii="Times New Roman;Times;Serif" w:hAnsi="Times New Roman;Times;Serif"/>
          <w:b w:val="false"/>
          <w:i w:val="false"/>
          <w:caps w:val="false"/>
          <w:smallCaps w:val="false"/>
          <w:sz w:val="20"/>
        </w:rPr>
        <w:t>”), (ii) FCFS OH, INC., an Ohio corporation (“</w:t>
      </w:r>
      <w:r>
        <w:rPr>
          <w:rFonts w:ascii="Times New Roman;Times;Serif" w:hAnsi="Times New Roman;Times;Serif"/>
          <w:b w:val="false"/>
          <w:i w:val="false"/>
          <w:caps w:val="false"/>
          <w:smallCaps w:val="false"/>
          <w:sz w:val="20"/>
          <w:u w:val="single"/>
        </w:rPr>
        <w:t>FCFS OH</w:t>
      </w:r>
      <w:r>
        <w:rPr>
          <w:rFonts w:ascii="Times New Roman;Times;Serif" w:hAnsi="Times New Roman;Times;Serif"/>
          <w:b w:val="false"/>
          <w:i w:val="false"/>
          <w:caps w:val="false"/>
          <w:smallCaps w:val="false"/>
          <w:sz w:val="20"/>
        </w:rPr>
        <w:t>”), (iii) FCFS MT, INC., a Montana corporation (“</w:t>
      </w:r>
      <w:r>
        <w:rPr>
          <w:rFonts w:ascii="Times New Roman;Times;Serif" w:hAnsi="Times New Roman;Times;Serif"/>
          <w:b w:val="false"/>
          <w:i w:val="false"/>
          <w:caps w:val="false"/>
          <w:smallCaps w:val="false"/>
          <w:sz w:val="20"/>
          <w:u w:val="single"/>
        </w:rPr>
        <w:t>FCFS MT</w:t>
      </w:r>
      <w:r>
        <w:rPr>
          <w:rFonts w:ascii="Times New Roman;Times;Serif" w:hAnsi="Times New Roman;Times;Serif"/>
          <w:b w:val="false"/>
          <w:i w:val="false"/>
          <w:caps w:val="false"/>
          <w:smallCaps w:val="false"/>
          <w:sz w:val="20"/>
        </w:rPr>
        <w:t>”), (iv) FCFS VA, INC., a Virginia corporation (“</w:t>
      </w:r>
      <w:r>
        <w:rPr>
          <w:rFonts w:ascii="Times New Roman;Times;Serif" w:hAnsi="Times New Roman;Times;Serif"/>
          <w:b w:val="false"/>
          <w:i w:val="false"/>
          <w:caps w:val="false"/>
          <w:smallCaps w:val="false"/>
          <w:sz w:val="20"/>
          <w:u w:val="single"/>
        </w:rPr>
        <w:t>FCFS VA</w:t>
      </w:r>
      <w:r>
        <w:rPr>
          <w:rFonts w:ascii="Times New Roman;Times;Serif" w:hAnsi="Times New Roman;Times;Serif"/>
          <w:b w:val="false"/>
          <w:i w:val="false"/>
          <w:caps w:val="false"/>
          <w:smallCaps w:val="false"/>
          <w:sz w:val="20"/>
        </w:rPr>
        <w:t>”), (v) FCFS AL, INC., an Alabama corporation (“</w:t>
      </w:r>
      <w:r>
        <w:rPr>
          <w:rFonts w:ascii="Times New Roman;Times;Serif" w:hAnsi="Times New Roman;Times;Serif"/>
          <w:b w:val="false"/>
          <w:i w:val="false"/>
          <w:caps w:val="false"/>
          <w:smallCaps w:val="false"/>
          <w:sz w:val="20"/>
          <w:u w:val="single"/>
        </w:rPr>
        <w:t>FCFS AL</w:t>
      </w:r>
      <w:r>
        <w:rPr>
          <w:rFonts w:ascii="Times New Roman;Times;Serif" w:hAnsi="Times New Roman;Times;Serif"/>
          <w:b w:val="false"/>
          <w:i w:val="false"/>
          <w:caps w:val="false"/>
          <w:smallCaps w:val="false"/>
          <w:sz w:val="20"/>
        </w:rPr>
        <w:t>”), and (vi) CASH AMERICA, INC. OF ALASKA, an Alaska corporation (“</w:t>
      </w:r>
      <w:r>
        <w:rPr>
          <w:rFonts w:ascii="Times New Roman;Times;Serif" w:hAnsi="Times New Roman;Times;Serif"/>
          <w:b w:val="false"/>
          <w:i w:val="false"/>
          <w:caps w:val="false"/>
          <w:smallCaps w:val="false"/>
          <w:sz w:val="20"/>
          <w:u w:val="single"/>
        </w:rPr>
        <w:t>CA AK</w:t>
      </w:r>
      <w:r>
        <w:rPr>
          <w:rFonts w:ascii="Times New Roman;Times;Serif" w:hAnsi="Times New Roman;Times;Serif"/>
          <w:b w:val="false"/>
          <w:i w:val="false"/>
          <w:caps w:val="false"/>
          <w:smallCaps w:val="false"/>
          <w:sz w:val="20"/>
        </w:rPr>
        <w:t>” and, with H&amp;T, FCFS OH, FCFS MT, FCFS VA and FCFS AL, each a “</w:t>
      </w:r>
      <w:r>
        <w:rPr>
          <w:rFonts w:ascii="Times New Roman;Times;Serif" w:hAnsi="Times New Roman;Times;Serif"/>
          <w:b w:val="false"/>
          <w:i w:val="false"/>
          <w:caps w:val="false"/>
          <w:smallCaps w:val="false"/>
          <w:sz w:val="20"/>
          <w:u w:val="single"/>
        </w:rPr>
        <w:t>New Loan 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New Loan Guarantors</w:t>
      </w:r>
      <w:r>
        <w:rPr>
          <w:rFonts w:ascii="Times New Roman;Times;Serif" w:hAnsi="Times New Roman;Times;Serif"/>
          <w:b w:val="false"/>
          <w:i w:val="false"/>
          <w:caps w:val="false"/>
          <w:smallCaps w:val="false"/>
          <w:sz w:val="20"/>
        </w:rPr>
        <w:t>”) hereby acknowledges, agrees and confirms that, by its execution of this Agreement, as of the Tenth Amendment Effective Date, such New Loan Guarantor will be deemed to be a party to the Credit Agreement as a “Loan Guarantor” for all purposes of the Credit Agreement and the other Loan Documents, and shall have all of the obligations of a Loan Guarantor thereunder, with the same force and effect as if originally named in the Existing Credit Agreement as a Loan Guarantor. Each New Loan Guarantor hereby ratifies, as of the date hereof, and agrees to be bound by, all of the terms, provisions and conditions applicable to the Loan Guarantors contained in the Credit Agreement, and agrees to all the terms and conditions of the Credit Agreement applicable to it as a Loan Guarantor thereunder. In furtherance of the foregoing, each New Loan Guarantor hereby guarantees to the Agent and each Lender as provided in Article XVI of the Credit Agreement, as primary obligor and not as surety, the prompt payment and performance of the Obligations (including, for the avoidance of doubt, the Guaranteed Obligations, as applicable) in full when due (whether at stated maturity, as a mandatory prepayment, by acceleration or otherwise) strictly in accordance with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Amended Terms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and after the Tenth Amendment Effective Date, all references to the Credit Agreement in each of the Loan Documents shall hereafter mean the Credit Agreement as amended by this Tenth Amendment. Except as specifically amended hereby or otherwise agreed, the Credit Agreement is hereby ratified and confirmed and shall remain in full force and effect according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Representations and Warranties of Loan Parties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Loan Parties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taken all necessary action to authorize the execution, delivery and performance of this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Tenth Amendment has been duly executed and delivered by such Person and constitutes such Person’s legal, valid and binding obligation, enforceable in accordance with its terms, except as such enforceability may be limited by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consent, approval, authorization or order of, or filing, registration or qualification with, any court or governmental authority or third party is required in connection with the execution, delivery or performance by such Person of this Tenth Amendment (except for a notification to the UK Financial Conduct Authority by Harvey &amp; Thompson Limited in relation to its entry into this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time of and immediately after giving effect to this Tenth Amendment, the representations and warranties contained in Article V of the Credit Agreement shall (i) with respect to representations and warranties that contain a materiality qualification, be true and correct, except for any representation or warranty made as of an earlier date, which representation and warranty shall remain true and correct as of such earlier date and (ii) with respect to representations and warranties that do not contain a materiality qualification, be true and correct in all material respects, in each case described in clauses (i) and (ii) above, on and as of the date of this Tenth Amendment as if made on and as of such date except for any representation or warranty made as of an earlier date, which representation and warranty shall remain true and correct in all material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After giving effect to this Tenth Amendment, no event has occurred and is continuing which constitutes a Default or Unmatured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Obligations and Guaranteed Obligations are not reduced or modified by this Tenth Amendment and are not subject to any offsets, defenses or counterclaims. For the avoidance of doubt, the Obligations and Guaranteed Obligations include all obligations arising under or in connection with the Tenth Amendment Commitment Increase, the Alternative Currency Commitments, Alternative Currency Loans and Letters of Credit denominated in Alternative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Tenth Amendment Non-Solicitation Acknowledgment and Confirmation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Reaffirmation of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Loan Party hereby ratifies the Credit Agreement and acknowledges and reaffirms (a) that it is bound by all terms of the Credit Agreement and the other Loan Documents applicable to it and (b) that it is responsible for the observance and full performance of its respective Obligations and Guaranteed Obligations, including, for the avoidance of doubt, all Obligations and Guaranteed Obligations arising under or in connection with the Tenth Amendment Commitment Increase, the Alternative Currency Commitments, Alternative Currency Loans and Letters of Credit denominated in Alternative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Loan Document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Tenth Amendment shall constitute a Loan Document under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agrees to pay all reasonable costs and expenses of the Agent in connection with the preparation, execution and delivery of this Tenth Amendment, including without limitation the reasonable and documented fees and expenses of the Agent’s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Loan Parties agree to promptly take such action, upon the reasonable request of the Agent, as is necessary to carry out the intent of this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Entirety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Tenth Amendment and the other Loan Documents embody the entire agreement and understanding among the parties hereto and supersede all prior agreements and understandings, oral or written, if any,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 Telecopy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Tenth Amendment may be executed in any number of counterparts, each of which when so executed and delivered shall be an original, but all of which shall constitute one and the same instrument. Delivery of an executed counterpart to this Tenth Amendment by telecopy or other electronic means shall be effective as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w:t>
      </w:r>
      <w:r>
        <w:rPr>
          <w:rFonts w:ascii="Times New Roman;Times;Serif" w:hAnsi="Times New Roman;Times;Serif"/>
          <w:b/>
          <w:i w:val="false"/>
          <w:caps w:val="false"/>
          <w:smallCaps w:val="false"/>
          <w:sz w:val="20"/>
          <w:u w:val="single"/>
        </w:rPr>
        <w:t>No Actions, Claims, Etc</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of the date hereof, each of the Loan Parties hereby acknowledges and confirms that it has no knowledge of any actions, causes of action, claims, demands, damages and liabilities of whatever kind or nature, in law or in equity, against the Agent, the Lenders, or the Agent’s or the Lenders’ respective officers, employees, representatives, agents, counsel or directors arising from any action by such Persons, or failure of such Persons to act under the Credit Agreement on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w:t>
      </w:r>
      <w:r>
        <w:rPr>
          <w:rFonts w:ascii="Times New Roman;Times;Serif" w:hAnsi="Times New Roman;Times;Serif"/>
          <w:b/>
          <w:i w:val="false"/>
          <w:caps w:val="false"/>
          <w:smallCaps w:val="false"/>
          <w:sz w:val="20"/>
          <w:u w:val="single"/>
        </w:rPr>
        <w:t>CHOICE OF LAW</w:t>
      </w:r>
      <w:r>
        <w:rPr>
          <w:rFonts w:ascii="Times New Roman;Times;Serif" w:hAnsi="Times New Roman;Times;Serif"/>
          <w:b/>
          <w:i w:val="false"/>
          <w:caps w:val="false"/>
          <w:smallCaps w:val="false"/>
          <w:sz w:val="20"/>
        </w:rPr>
        <w:t>. THIS TENTH AMENDMENT AND THE RIGHTS AND OBLIGATIONS OF THE PARTIES HEREUNDER SHALL BE GOVERNED BY AND CONSTRUED AND INTERPRETED IN ACCORDANCE WITH THE INTERNAL LAWS (WITHOUT REGARD TO THE CONFLICT OF LAWS PROVISIONS) OF THE STATE OF TEXAS, BUT GIVING EFFECT TO FEDERAL LAWS APPLICABLE TO NATIONAL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Tenth Amendment shall be binding upon and inure to the benefit of the parties hereto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w:t>
      </w:r>
      <w:r>
        <w:rPr>
          <w:rFonts w:ascii="Times New Roman;Times;Serif" w:hAnsi="Times New Roman;Times;Serif"/>
          <w:b/>
          <w:i w:val="false"/>
          <w:caps w:val="false"/>
          <w:smallCaps w:val="false"/>
          <w:sz w:val="20"/>
          <w:u w:val="single"/>
        </w:rPr>
        <w:t>Consent to Jurisdiction; Waiver of Jury Trial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terms of </w:t>
      </w:r>
      <w:r>
        <w:rPr>
          <w:rFonts w:ascii="Times New Roman;Times;Serif" w:hAnsi="Times New Roman;Times;Serif"/>
          <w:b w:val="false"/>
          <w:i w:val="false"/>
          <w:caps w:val="false"/>
          <w:smallCaps w:val="false"/>
          <w:sz w:val="20"/>
          <w:u w:val="single"/>
        </w:rPr>
        <w:t>Sections 15.2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15.3</w:t>
      </w:r>
      <w:r>
        <w:rPr>
          <w:rFonts w:ascii="Times New Roman;Times;Serif" w:hAnsi="Times New Roman;Times;Serif"/>
          <w:b w:val="false"/>
          <w:i w:val="false"/>
          <w:caps w:val="false"/>
          <w:smallCaps w:val="false"/>
          <w:sz w:val="20"/>
        </w:rPr>
        <w:t xml:space="preserve"> of the Credit Agreement are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and the parties hereto agree to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Tenth Amendment to be duly executed on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9279" w:type="dxa"/>
        <w:jc w:val="left"/>
        <w:tblInd w:w="0" w:type="dxa"/>
        <w:tblLayout w:type="fixed"/>
        <w:tblCellMar>
          <w:top w:w="0" w:type="dxa"/>
          <w:left w:w="0" w:type="dxa"/>
          <w:bottom w:w="0" w:type="dxa"/>
          <w:right w:w="0" w:type="dxa"/>
        </w:tblCellMar>
      </w:tblPr>
      <w:tblGrid>
        <w:gridCol w:w="1700"/>
        <w:gridCol w:w="1652"/>
        <w:gridCol w:w="5927"/>
      </w:tblGrid>
      <w:tr>
        <w:trPr/>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BORROWER</w:t>
            </w:r>
            <w:r>
              <w:rPr>
                <w:rFonts w:ascii="Times New Roman;Times;Serif" w:hAnsi="Times New Roman;Times;Serif"/>
                <w:b/>
                <w:sz w:val="20"/>
              </w:rPr>
              <w:t>:</w:t>
            </w:r>
          </w:p>
        </w:tc>
        <w:tc>
          <w:tcPr>
            <w:tcW w:w="7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FIRSTCASH, INC.</w:t>
            </w:r>
            <w:r>
              <w:rPr>
                <w:rFonts w:ascii="Times New Roman;Times;Serif" w:hAnsi="Times New Roman;Times;Serif"/>
                <w:sz w:val="20"/>
              </w:rPr>
              <w:t>, a Delaware corporation</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Rick L. Wessel</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Rick L. Wessel</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UK BORROWERS</w:t>
            </w:r>
            <w:r>
              <w:rPr>
                <w:rFonts w:ascii="Times New Roman;Times;Serif" w:hAnsi="Times New Roman;Times;Serif"/>
                <w:b/>
                <w:sz w:val="20"/>
              </w:rPr>
              <w:t>:</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7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CHESS HOLDCO LIMITED</w:t>
            </w:r>
            <w:r>
              <w:rPr>
                <w:rFonts w:ascii="Times New Roman;Times;Serif" w:hAnsi="Times New Roman;Times;Serif"/>
                <w:sz w:val="20"/>
              </w:rPr>
              <w:t>, a company incorporated under the laws of England and Wales</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 Douglas Orr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 Douglas Orr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7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CHESS BIDCO LIMITED</w:t>
            </w:r>
            <w:r>
              <w:rPr>
                <w:rFonts w:ascii="Times New Roman;Times;Serif" w:hAnsi="Times New Roman;Times;Serif"/>
                <w:sz w:val="20"/>
              </w:rPr>
              <w:t>, a company incorporated under the laws of England and Wales</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 Douglas Orr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 Douglas Orr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HOLDINGS</w:t>
            </w:r>
            <w:r>
              <w:rPr>
                <w:rFonts w:ascii="Times New Roman;Times;Serif" w:hAnsi="Times New Roman;Times;Serif"/>
                <w:b/>
                <w:sz w:val="20"/>
              </w:rPr>
              <w:t>:</w:t>
            </w:r>
          </w:p>
        </w:tc>
        <w:tc>
          <w:tcPr>
            <w:tcW w:w="7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FIRSTCASH HOLDINGS, INC.</w:t>
            </w:r>
            <w:r>
              <w:rPr>
                <w:rFonts w:ascii="Times New Roman;Times;Serif" w:hAnsi="Times New Roman;Times;Serif"/>
                <w:sz w:val="20"/>
              </w:rPr>
              <w:t>, a Texas corporation</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pPr>
            <w:r>
              <w:rPr/>
              <w:t> </w:t>
            </w:r>
          </w:p>
        </w:tc>
        <w:tc>
          <w:tcPr>
            <w:tcW w:w="5927"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Rick L. Wessel</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Rick L. Wessel</w:t>
            </w:r>
          </w:p>
        </w:tc>
      </w:tr>
      <w:tr>
        <w:trPr/>
        <w:tc>
          <w:tcPr>
            <w:tcW w:w="1700"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2"/>
        <w:gridCol w:w="1843"/>
        <w:gridCol w:w="6450"/>
      </w:tblGrid>
      <w:tr>
        <w:trPr/>
        <w:tc>
          <w:tcPr>
            <w:tcW w:w="1912" w:type="dxa"/>
            <w:tcBorders/>
            <w:vAlign w:val="center"/>
          </w:tcPr>
          <w:p>
            <w:pPr>
              <w:pStyle w:val="TableContents"/>
              <w:bidi w:val="0"/>
              <w:spacing w:before="0" w:after="283"/>
              <w:jc w:val="left"/>
              <w:rPr>
                <w:b/>
                <w:sz w:val="20"/>
              </w:rPr>
            </w:pPr>
            <w:r>
              <w:rPr>
                <w:b/>
                <w:sz w:val="20"/>
                <w:u w:val="single"/>
              </w:rPr>
              <w:t>LOAN GUARANTORS</w:t>
            </w:r>
            <w:r>
              <w:rPr>
                <w:b/>
                <w:sz w:val="20"/>
              </w:rPr>
              <w:t>:</w:t>
            </w:r>
          </w:p>
        </w:tc>
        <w:tc>
          <w:tcPr>
            <w:tcW w:w="8293" w:type="dxa"/>
            <w:gridSpan w:val="2"/>
            <w:tcBorders/>
            <w:vAlign w:val="center"/>
          </w:tcPr>
          <w:p>
            <w:pPr>
              <w:pStyle w:val="TableContents"/>
              <w:bidi w:val="0"/>
              <w:spacing w:before="0" w:after="283"/>
              <w:jc w:val="left"/>
              <w:rPr/>
            </w:pPr>
            <w:r>
              <w:rPr>
                <w:b/>
                <w:caps/>
                <w:sz w:val="20"/>
              </w:rPr>
              <w:t>Famous Pawn, Inc.</w:t>
            </w:r>
            <w:r>
              <w:rPr>
                <w:sz w:val="20"/>
              </w:rPr>
              <w:t>,</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sz w:val="20"/>
              </w:rPr>
            </w:pPr>
            <w:r>
              <w:rPr>
                <w:sz w:val="20"/>
              </w:rPr>
              <w:t>a Maryland corporation</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pPr>
            <w:r>
              <w:rPr>
                <w:b/>
                <w:caps/>
                <w:sz w:val="20"/>
              </w:rPr>
              <w:t>FCFS CO, Inc.</w:t>
            </w:r>
            <w:r>
              <w:rPr>
                <w:sz w:val="20"/>
              </w:rPr>
              <w:t>,</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sz w:val="20"/>
              </w:rPr>
            </w:pPr>
            <w:r>
              <w:rPr>
                <w:sz w:val="20"/>
              </w:rPr>
              <w:t>a Colorado corporation</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pPr>
            <w:r>
              <w:rPr>
                <w:b/>
              </w:rPr>
              <w:t>HARVEY &amp; THOMPSON LIMITED</w:t>
            </w:r>
            <w:r>
              <w:rPr/>
              <w:t>, a company incorporated under the laws of England and Wales</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 Douglas Orr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 Douglas Orr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pPr>
            <w:r>
              <w:rPr>
                <w:b/>
                <w:caps/>
                <w:sz w:val="20"/>
              </w:rPr>
              <w:t>FCFS OH, Inc.</w:t>
            </w:r>
            <w:r>
              <w:rPr>
                <w:sz w:val="20"/>
              </w:rPr>
              <w:t>,</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sz w:val="20"/>
              </w:rPr>
            </w:pPr>
            <w:r>
              <w:rPr>
                <w:sz w:val="20"/>
              </w:rPr>
              <w:t>an Ohio corporation</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pPr>
            <w:r>
              <w:rPr>
                <w:b/>
                <w:caps/>
                <w:sz w:val="20"/>
              </w:rPr>
              <w:t>FCFS MT, Inc.</w:t>
            </w:r>
            <w:r>
              <w:rPr>
                <w:sz w:val="20"/>
              </w:rPr>
              <w:t>,</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sz w:val="20"/>
              </w:rPr>
            </w:pPr>
            <w:r>
              <w:rPr>
                <w:sz w:val="20"/>
              </w:rPr>
              <w:t>a Montana corporation</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pPr>
            <w:r>
              <w:rPr>
                <w:b/>
                <w:caps/>
                <w:sz w:val="20"/>
              </w:rPr>
              <w:t>FCFS VA, Inc.</w:t>
            </w:r>
            <w:r>
              <w:rPr>
                <w:sz w:val="20"/>
              </w:rPr>
              <w:t>,</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sz w:val="20"/>
              </w:rPr>
            </w:pPr>
            <w:r>
              <w:rPr>
                <w:sz w:val="20"/>
              </w:rPr>
              <w:t>a Virginia corporation</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pPr>
            <w:r>
              <w:rPr>
                <w:b/>
                <w:caps/>
                <w:sz w:val="20"/>
              </w:rPr>
              <w:t>FCFS AL, Inc.</w:t>
            </w:r>
            <w:r>
              <w:rPr>
                <w:sz w:val="20"/>
              </w:rPr>
              <w:t>,</w:t>
            </w:r>
          </w:p>
        </w:tc>
      </w:tr>
      <w:tr>
        <w:trPr/>
        <w:tc>
          <w:tcPr>
            <w:tcW w:w="1912" w:type="dxa"/>
            <w:tcBorders/>
            <w:vAlign w:val="center"/>
          </w:tcPr>
          <w:p>
            <w:pPr>
              <w:pStyle w:val="TableContents"/>
              <w:bidi w:val="0"/>
              <w:spacing w:before="0" w:after="283"/>
              <w:jc w:val="left"/>
              <w:rPr/>
            </w:pPr>
            <w:r>
              <w:rPr/>
              <w:t> </w:t>
            </w:r>
          </w:p>
        </w:tc>
        <w:tc>
          <w:tcPr>
            <w:tcW w:w="8293" w:type="dxa"/>
            <w:gridSpan w:val="2"/>
            <w:tcBorders/>
            <w:vAlign w:val="center"/>
          </w:tcPr>
          <w:p>
            <w:pPr>
              <w:pStyle w:val="TableContents"/>
              <w:bidi w:val="0"/>
              <w:spacing w:before="0" w:after="283"/>
              <w:jc w:val="left"/>
              <w:rPr>
                <w:sz w:val="20"/>
              </w:rPr>
            </w:pPr>
            <w:r>
              <w:rPr>
                <w:sz w:val="20"/>
              </w:rPr>
              <w:t>an Alabama corporation</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By:</w:t>
            </w:r>
          </w:p>
        </w:tc>
        <w:tc>
          <w:tcPr>
            <w:tcW w:w="6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Name:</w:t>
            </w:r>
          </w:p>
        </w:tc>
        <w:tc>
          <w:tcPr>
            <w:tcW w:w="6450" w:type="dxa"/>
            <w:tcBorders/>
            <w:vAlign w:val="center"/>
          </w:tcPr>
          <w:p>
            <w:pPr>
              <w:pStyle w:val="TableContents"/>
              <w:bidi w:val="0"/>
              <w:spacing w:before="0" w:after="283"/>
              <w:jc w:val="left"/>
              <w:rPr>
                <w:sz w:val="20"/>
              </w:rPr>
            </w:pPr>
            <w:r>
              <w:rPr>
                <w:sz w:val="20"/>
              </w:rPr>
              <w:t>Rick L. Wessel</w:t>
            </w:r>
          </w:p>
        </w:tc>
      </w:tr>
      <w:tr>
        <w:trPr/>
        <w:tc>
          <w:tcPr>
            <w:tcW w:w="19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sz w:val="20"/>
              </w:rPr>
            </w:pPr>
            <w:r>
              <w:rPr>
                <w:sz w:val="20"/>
              </w:rPr>
              <w:t>Title:</w:t>
            </w:r>
          </w:p>
        </w:tc>
        <w:tc>
          <w:tcPr>
            <w:tcW w:w="645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6174" w:type="dxa"/>
        <w:jc w:val="left"/>
        <w:tblInd w:w="0" w:type="dxa"/>
        <w:tblLayout w:type="fixed"/>
        <w:tblCellMar>
          <w:top w:w="0" w:type="dxa"/>
          <w:left w:w="0" w:type="dxa"/>
          <w:bottom w:w="0" w:type="dxa"/>
          <w:right w:w="0" w:type="dxa"/>
        </w:tblCellMar>
      </w:tblPr>
      <w:tblGrid>
        <w:gridCol w:w="2960"/>
        <w:gridCol w:w="700"/>
        <w:gridCol w:w="2514"/>
      </w:tblGrid>
      <w:tr>
        <w:trPr/>
        <w:tc>
          <w:tcPr>
            <w:tcW w:w="2960" w:type="dxa"/>
            <w:tcBorders/>
            <w:vAlign w:val="center"/>
          </w:tcPr>
          <w:p>
            <w:pPr>
              <w:pStyle w:val="TableContents"/>
              <w:bidi w:val="0"/>
              <w:spacing w:before="0" w:after="283"/>
              <w:jc w:val="left"/>
              <w:rPr>
                <w:b/>
                <w:sz w:val="20"/>
              </w:rPr>
            </w:pPr>
            <w:r>
              <w:rPr>
                <w:b/>
                <w:sz w:val="20"/>
                <w:u w:val="single"/>
              </w:rPr>
              <w:t>LOAN GUARANTORS (CONT’D)</w:t>
            </w:r>
            <w:r>
              <w:rPr>
                <w:b/>
                <w:sz w:val="20"/>
              </w:rPr>
              <w:t>:</w:t>
            </w:r>
          </w:p>
        </w:tc>
        <w:tc>
          <w:tcPr>
            <w:tcW w:w="3214" w:type="dxa"/>
            <w:gridSpan w:val="2"/>
            <w:tcBorders/>
            <w:vAlign w:val="center"/>
          </w:tcPr>
          <w:p>
            <w:pPr>
              <w:pStyle w:val="TableContents"/>
              <w:bidi w:val="0"/>
              <w:spacing w:before="0" w:after="283"/>
              <w:jc w:val="left"/>
              <w:rPr/>
            </w:pPr>
            <w:r>
              <w:rPr>
                <w:b/>
                <w:caps/>
                <w:sz w:val="20"/>
              </w:rPr>
              <w:t>PAWN TX, INC.</w:t>
            </w:r>
            <w:r>
              <w:rPr>
                <w:sz w:val="20"/>
              </w:rPr>
              <w:t>,</w:t>
            </w:r>
          </w:p>
        </w:tc>
      </w:tr>
      <w:tr>
        <w:trPr/>
        <w:tc>
          <w:tcPr>
            <w:tcW w:w="29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sz w:val="20"/>
              </w:rPr>
            </w:pPr>
            <w:r>
              <w:rPr>
                <w:sz w:val="20"/>
              </w:rPr>
              <w:t>a Texas corporation</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2514"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By:</w:t>
            </w:r>
          </w:p>
        </w:tc>
        <w:tc>
          <w:tcPr>
            <w:tcW w:w="251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Name:</w:t>
            </w:r>
          </w:p>
        </w:tc>
        <w:tc>
          <w:tcPr>
            <w:tcW w:w="2514"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Title:</w:t>
            </w:r>
          </w:p>
        </w:tc>
        <w:tc>
          <w:tcPr>
            <w:tcW w:w="2514"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2514"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b/>
                <w:caps/>
                <w:sz w:val="20"/>
              </w:rPr>
              <w:t>LTS, Incorporated</w:t>
            </w:r>
            <w:r>
              <w:rPr>
                <w:sz w:val="20"/>
              </w:rPr>
              <w:t>,</w:t>
            </w:r>
          </w:p>
        </w:tc>
      </w:tr>
      <w:tr>
        <w:trPr/>
        <w:tc>
          <w:tcPr>
            <w:tcW w:w="29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sz w:val="20"/>
              </w:rPr>
            </w:pPr>
            <w:r>
              <w:rPr>
                <w:sz w:val="20"/>
              </w:rPr>
              <w:t>a Colorado corporation</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2514"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By:</w:t>
            </w:r>
          </w:p>
        </w:tc>
        <w:tc>
          <w:tcPr>
            <w:tcW w:w="251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Name:</w:t>
            </w:r>
          </w:p>
        </w:tc>
        <w:tc>
          <w:tcPr>
            <w:tcW w:w="2514"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Title:</w:t>
            </w:r>
          </w:p>
        </w:tc>
        <w:tc>
          <w:tcPr>
            <w:tcW w:w="2514"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2514"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b/>
                <w:caps/>
                <w:sz w:val="20"/>
              </w:rPr>
              <w:t>CASH AMERICA, INC. of ALaska</w:t>
            </w:r>
            <w:r>
              <w:rPr>
                <w:sz w:val="20"/>
              </w:rPr>
              <w:t>,</w:t>
            </w:r>
          </w:p>
        </w:tc>
      </w:tr>
      <w:tr>
        <w:trPr/>
        <w:tc>
          <w:tcPr>
            <w:tcW w:w="29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sz w:val="20"/>
              </w:rPr>
            </w:pPr>
            <w:r>
              <w:rPr>
                <w:sz w:val="20"/>
              </w:rPr>
              <w:t>an Alaska corporation</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2514"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By:</w:t>
            </w:r>
          </w:p>
        </w:tc>
        <w:tc>
          <w:tcPr>
            <w:tcW w:w="251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Name:</w:t>
            </w:r>
          </w:p>
        </w:tc>
        <w:tc>
          <w:tcPr>
            <w:tcW w:w="2514"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sz w:val="20"/>
              </w:rPr>
            </w:pPr>
            <w:r>
              <w:rPr>
                <w:sz w:val="20"/>
              </w:rPr>
              <w:t>Title:</w:t>
            </w:r>
          </w:p>
        </w:tc>
        <w:tc>
          <w:tcPr>
            <w:tcW w:w="2514"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6"/>
        <w:gridCol w:w="639"/>
        <w:gridCol w:w="7040"/>
      </w:tblGrid>
      <w:tr>
        <w:trPr/>
        <w:tc>
          <w:tcPr>
            <w:tcW w:w="2526" w:type="dxa"/>
            <w:tcBorders/>
            <w:vAlign w:val="center"/>
          </w:tcPr>
          <w:p>
            <w:pPr>
              <w:pStyle w:val="TableContents"/>
              <w:bidi w:val="0"/>
              <w:spacing w:before="0" w:after="283"/>
              <w:jc w:val="left"/>
              <w:rPr>
                <w:b/>
                <w:caps/>
                <w:sz w:val="20"/>
              </w:rPr>
            </w:pPr>
            <w:r>
              <w:rPr>
                <w:b/>
                <w:caps/>
                <w:sz w:val="20"/>
                <w:u w:val="single"/>
              </w:rPr>
              <w:t>LOAN GUARANTORS (CONT’D)</w:t>
            </w:r>
            <w:r>
              <w:rPr>
                <w:b/>
                <w:caps/>
                <w:sz w:val="20"/>
              </w:rPr>
              <w:t>:</w:t>
            </w:r>
          </w:p>
        </w:tc>
        <w:tc>
          <w:tcPr>
            <w:tcW w:w="7679" w:type="dxa"/>
            <w:gridSpan w:val="2"/>
            <w:tcBorders/>
            <w:vAlign w:val="center"/>
          </w:tcPr>
          <w:p>
            <w:pPr>
              <w:pStyle w:val="TableContents"/>
              <w:bidi w:val="0"/>
              <w:spacing w:before="0" w:after="283"/>
              <w:jc w:val="left"/>
              <w:rPr/>
            </w:pPr>
            <w:r>
              <w:rPr>
                <w:b/>
                <w:caps/>
                <w:sz w:val="20"/>
              </w:rPr>
              <w:t>Mister Money -- RM, Inc.</w:t>
            </w:r>
            <w:r>
              <w:rPr>
                <w:sz w:val="20"/>
              </w:rPr>
              <w:t>,</w:t>
            </w:r>
          </w:p>
        </w:tc>
      </w:tr>
      <w:tr>
        <w:trPr/>
        <w:tc>
          <w:tcPr>
            <w:tcW w:w="2526" w:type="dxa"/>
            <w:tcBorders/>
            <w:vAlign w:val="center"/>
          </w:tcPr>
          <w:p>
            <w:pPr>
              <w:pStyle w:val="TableContents"/>
              <w:bidi w:val="0"/>
              <w:spacing w:before="0" w:after="283"/>
              <w:jc w:val="left"/>
              <w:rPr/>
            </w:pPr>
            <w:r>
              <w:rPr/>
              <w:t> </w:t>
            </w:r>
          </w:p>
        </w:tc>
        <w:tc>
          <w:tcPr>
            <w:tcW w:w="7679" w:type="dxa"/>
            <w:gridSpan w:val="2"/>
            <w:tcBorders/>
            <w:vAlign w:val="center"/>
          </w:tcPr>
          <w:p>
            <w:pPr>
              <w:pStyle w:val="TableContents"/>
              <w:bidi w:val="0"/>
              <w:spacing w:before="0" w:after="283"/>
              <w:jc w:val="left"/>
              <w:rPr>
                <w:sz w:val="20"/>
              </w:rPr>
            </w:pPr>
            <w:r>
              <w:rPr>
                <w:sz w:val="20"/>
              </w:rPr>
              <w:t>a Colorado corporation</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By:</w:t>
            </w:r>
          </w:p>
        </w:tc>
        <w:tc>
          <w:tcPr>
            <w:tcW w:w="70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Name:</w:t>
            </w:r>
          </w:p>
        </w:tc>
        <w:tc>
          <w:tcPr>
            <w:tcW w:w="7040" w:type="dxa"/>
            <w:tcBorders/>
            <w:vAlign w:val="center"/>
          </w:tcPr>
          <w:p>
            <w:pPr>
              <w:pStyle w:val="TableContents"/>
              <w:bidi w:val="0"/>
              <w:spacing w:before="0" w:after="283"/>
              <w:jc w:val="left"/>
              <w:rPr>
                <w:sz w:val="20"/>
              </w:rPr>
            </w:pPr>
            <w:r>
              <w:rPr>
                <w:sz w:val="20"/>
              </w:rPr>
              <w:t>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Title:</w:t>
            </w:r>
          </w:p>
        </w:tc>
        <w:tc>
          <w:tcPr>
            <w:tcW w:w="7040" w:type="dxa"/>
            <w:tcBorders/>
            <w:vAlign w:val="center"/>
          </w:tcPr>
          <w:p>
            <w:pPr>
              <w:pStyle w:val="TableContents"/>
              <w:bidi w:val="0"/>
              <w:spacing w:before="0" w:after="283"/>
              <w:jc w:val="left"/>
              <w:rPr>
                <w:sz w:val="20"/>
              </w:rPr>
            </w:pPr>
            <w:r>
              <w:rPr>
                <w:sz w:val="20"/>
              </w:rPr>
              <w:t>Chief Executive Officer</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7679" w:type="dxa"/>
            <w:gridSpan w:val="2"/>
            <w:tcBorders/>
            <w:vAlign w:val="center"/>
          </w:tcPr>
          <w:p>
            <w:pPr>
              <w:pStyle w:val="TableContents"/>
              <w:bidi w:val="0"/>
              <w:spacing w:before="0" w:after="283"/>
              <w:jc w:val="left"/>
              <w:rPr>
                <w:sz w:val="20"/>
              </w:rPr>
            </w:pPr>
            <w:r>
              <w:rPr>
                <w:b/>
                <w:sz w:val="20"/>
              </w:rPr>
              <w:t>FCFS SC, INC.</w:t>
            </w:r>
            <w:r>
              <w:rPr>
                <w:sz w:val="20"/>
              </w:rPr>
              <w:t>, a South Carolina corporation</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By:</w:t>
            </w:r>
          </w:p>
        </w:tc>
        <w:tc>
          <w:tcPr>
            <w:tcW w:w="70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Name:</w:t>
            </w:r>
          </w:p>
        </w:tc>
        <w:tc>
          <w:tcPr>
            <w:tcW w:w="7040" w:type="dxa"/>
            <w:tcBorders/>
            <w:vAlign w:val="center"/>
          </w:tcPr>
          <w:p>
            <w:pPr>
              <w:pStyle w:val="TableContents"/>
              <w:bidi w:val="0"/>
              <w:spacing w:before="0" w:after="283"/>
              <w:jc w:val="left"/>
              <w:rPr>
                <w:sz w:val="20"/>
              </w:rPr>
            </w:pPr>
            <w:r>
              <w:rPr>
                <w:sz w:val="20"/>
              </w:rPr>
              <w:t>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Title:</w:t>
            </w:r>
          </w:p>
        </w:tc>
        <w:tc>
          <w:tcPr>
            <w:tcW w:w="7040" w:type="dxa"/>
            <w:tcBorders/>
            <w:vAlign w:val="center"/>
          </w:tcPr>
          <w:p>
            <w:pPr>
              <w:pStyle w:val="TableContents"/>
              <w:bidi w:val="0"/>
              <w:spacing w:before="0" w:after="283"/>
              <w:jc w:val="left"/>
              <w:rPr>
                <w:sz w:val="20"/>
              </w:rPr>
            </w:pPr>
            <w:r>
              <w:rPr>
                <w:sz w:val="20"/>
              </w:rPr>
              <w:t>Chief Executive Officer</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7679" w:type="dxa"/>
            <w:gridSpan w:val="2"/>
            <w:tcBorders/>
            <w:vAlign w:val="center"/>
          </w:tcPr>
          <w:p>
            <w:pPr>
              <w:pStyle w:val="TableContents"/>
              <w:bidi w:val="0"/>
              <w:spacing w:before="0" w:after="283"/>
              <w:jc w:val="left"/>
              <w:rPr>
                <w:sz w:val="20"/>
              </w:rPr>
            </w:pPr>
            <w:r>
              <w:rPr>
                <w:b/>
                <w:sz w:val="20"/>
              </w:rPr>
              <w:t>FCFS NC, INC</w:t>
            </w:r>
            <w:r>
              <w:rPr>
                <w:sz w:val="20"/>
              </w:rPr>
              <w:t>., a North Carolina corporation</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By:</w:t>
            </w:r>
          </w:p>
        </w:tc>
        <w:tc>
          <w:tcPr>
            <w:tcW w:w="70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Name:</w:t>
            </w:r>
          </w:p>
        </w:tc>
        <w:tc>
          <w:tcPr>
            <w:tcW w:w="7040" w:type="dxa"/>
            <w:tcBorders/>
            <w:vAlign w:val="center"/>
          </w:tcPr>
          <w:p>
            <w:pPr>
              <w:pStyle w:val="TableContents"/>
              <w:bidi w:val="0"/>
              <w:spacing w:before="0" w:after="283"/>
              <w:jc w:val="left"/>
              <w:rPr>
                <w:sz w:val="20"/>
              </w:rPr>
            </w:pPr>
            <w:r>
              <w:rPr>
                <w:sz w:val="20"/>
              </w:rPr>
              <w:t>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Title:</w:t>
            </w:r>
          </w:p>
        </w:tc>
        <w:tc>
          <w:tcPr>
            <w:tcW w:w="7040" w:type="dxa"/>
            <w:tcBorders/>
            <w:vAlign w:val="center"/>
          </w:tcPr>
          <w:p>
            <w:pPr>
              <w:pStyle w:val="TableContents"/>
              <w:bidi w:val="0"/>
              <w:spacing w:before="0" w:after="283"/>
              <w:jc w:val="left"/>
              <w:rPr>
                <w:sz w:val="20"/>
              </w:rPr>
            </w:pPr>
            <w:r>
              <w:rPr>
                <w:sz w:val="20"/>
              </w:rPr>
              <w:t>Chief Executive Officer</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7679" w:type="dxa"/>
            <w:gridSpan w:val="2"/>
            <w:tcBorders/>
            <w:vAlign w:val="center"/>
          </w:tcPr>
          <w:p>
            <w:pPr>
              <w:pStyle w:val="TableContents"/>
              <w:bidi w:val="0"/>
              <w:spacing w:before="0" w:after="283"/>
              <w:jc w:val="left"/>
              <w:rPr>
                <w:sz w:val="20"/>
              </w:rPr>
            </w:pPr>
            <w:r>
              <w:rPr>
                <w:b/>
                <w:sz w:val="20"/>
              </w:rPr>
              <w:t>FRONTIER MERGER SUB, LLC</w:t>
            </w:r>
            <w:r>
              <w:rPr>
                <w:sz w:val="20"/>
              </w:rPr>
              <w:t xml:space="preserve"> (S/B/M CASH AMERICA INTERNATIONAL, INC.), a Texas limited liability company</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sz w:val="20"/>
              </w:rPr>
            </w:pPr>
            <w:r>
              <w:rPr>
                <w:sz w:val="20"/>
              </w:rPr>
              <w:t>By: FIRSTCASH, INC. (F/K/A FIRST CASH FINANCIAL SERVICES, INC.), its sole member</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By:</w:t>
            </w:r>
          </w:p>
        </w:tc>
        <w:tc>
          <w:tcPr>
            <w:tcW w:w="70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Name:</w:t>
            </w:r>
          </w:p>
        </w:tc>
        <w:tc>
          <w:tcPr>
            <w:tcW w:w="7040" w:type="dxa"/>
            <w:tcBorders/>
            <w:vAlign w:val="center"/>
          </w:tcPr>
          <w:p>
            <w:pPr>
              <w:pStyle w:val="TableContents"/>
              <w:bidi w:val="0"/>
              <w:spacing w:before="0" w:after="283"/>
              <w:jc w:val="left"/>
              <w:rPr>
                <w:sz w:val="20"/>
              </w:rPr>
            </w:pPr>
            <w:r>
              <w:rPr>
                <w:sz w:val="20"/>
              </w:rPr>
              <w:t>Rick L. Wessel</w:t>
            </w:r>
          </w:p>
        </w:tc>
      </w:tr>
      <w:tr>
        <w:trPr/>
        <w:tc>
          <w:tcPr>
            <w:tcW w:w="252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Title:</w:t>
            </w:r>
          </w:p>
        </w:tc>
        <w:tc>
          <w:tcPr>
            <w:tcW w:w="704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0029" w:type="dxa"/>
        <w:jc w:val="left"/>
        <w:tblInd w:w="0" w:type="dxa"/>
        <w:tblLayout w:type="fixed"/>
        <w:tblCellMar>
          <w:top w:w="0" w:type="dxa"/>
          <w:left w:w="0" w:type="dxa"/>
          <w:bottom w:w="0" w:type="dxa"/>
          <w:right w:w="0" w:type="dxa"/>
        </w:tblCellMar>
      </w:tblPr>
      <w:tblGrid>
        <w:gridCol w:w="2960"/>
        <w:gridCol w:w="728"/>
        <w:gridCol w:w="6341"/>
      </w:tblGrid>
      <w:tr>
        <w:trPr/>
        <w:tc>
          <w:tcPr>
            <w:tcW w:w="2960" w:type="dxa"/>
            <w:tcBorders/>
            <w:vAlign w:val="center"/>
          </w:tcPr>
          <w:p>
            <w:pPr>
              <w:pStyle w:val="TableContents"/>
              <w:bidi w:val="0"/>
              <w:spacing w:before="0" w:after="283"/>
              <w:jc w:val="left"/>
              <w:rPr>
                <w:b/>
                <w:caps/>
                <w:sz w:val="20"/>
              </w:rPr>
            </w:pPr>
            <w:r>
              <w:rPr>
                <w:b/>
                <w:caps/>
                <w:sz w:val="20"/>
                <w:u w:val="single"/>
              </w:rPr>
              <w:t>LOAN GUARANTORS (CONT’D)</w:t>
            </w:r>
            <w:r>
              <w:rPr>
                <w:b/>
                <w:caps/>
                <w:sz w:val="20"/>
              </w:rPr>
              <w:t>:</w:t>
            </w:r>
          </w:p>
        </w:tc>
        <w:tc>
          <w:tcPr>
            <w:tcW w:w="7069" w:type="dxa"/>
            <w:gridSpan w:val="2"/>
            <w:tcBorders/>
            <w:vAlign w:val="center"/>
          </w:tcPr>
          <w:p>
            <w:pPr>
              <w:pStyle w:val="TableContents"/>
              <w:bidi w:val="0"/>
              <w:spacing w:before="0" w:after="283"/>
              <w:jc w:val="left"/>
              <w:rPr/>
            </w:pPr>
            <w:r>
              <w:rPr>
                <w:b/>
                <w:caps/>
                <w:sz w:val="20"/>
              </w:rPr>
              <w:t>FCFS TN, Inc. (f/k/a Cash America Central, Inc.)</w:t>
            </w:r>
            <w:r>
              <w:rPr>
                <w:sz w:val="20"/>
              </w:rPr>
              <w:t>, a Tennessee corporation</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By:</w:t>
            </w:r>
          </w:p>
        </w:tc>
        <w:tc>
          <w:tcPr>
            <w:tcW w:w="63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Name:</w:t>
            </w:r>
          </w:p>
        </w:tc>
        <w:tc>
          <w:tcPr>
            <w:tcW w:w="634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Title:</w:t>
            </w:r>
          </w:p>
        </w:tc>
        <w:tc>
          <w:tcPr>
            <w:tcW w:w="634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69" w:type="dxa"/>
            <w:gridSpan w:val="2"/>
            <w:tcBorders/>
            <w:vAlign w:val="center"/>
          </w:tcPr>
          <w:p>
            <w:pPr>
              <w:pStyle w:val="TableContents"/>
              <w:bidi w:val="0"/>
              <w:spacing w:before="0" w:after="283"/>
              <w:jc w:val="left"/>
              <w:rPr>
                <w:sz w:val="20"/>
              </w:rPr>
            </w:pPr>
            <w:r>
              <w:rPr>
                <w:b/>
                <w:sz w:val="20"/>
              </w:rPr>
              <w:t>CASH AMERICA EAST, INC</w:t>
            </w:r>
            <w:r>
              <w:rPr>
                <w:sz w:val="20"/>
              </w:rPr>
              <w:t>., a Florida corporation</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By:</w:t>
            </w:r>
          </w:p>
        </w:tc>
        <w:tc>
          <w:tcPr>
            <w:tcW w:w="63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Name:</w:t>
            </w:r>
          </w:p>
        </w:tc>
        <w:tc>
          <w:tcPr>
            <w:tcW w:w="634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Title:</w:t>
            </w:r>
          </w:p>
        </w:tc>
        <w:tc>
          <w:tcPr>
            <w:tcW w:w="634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69" w:type="dxa"/>
            <w:gridSpan w:val="2"/>
            <w:tcBorders/>
            <w:vAlign w:val="center"/>
          </w:tcPr>
          <w:p>
            <w:pPr>
              <w:pStyle w:val="TableContents"/>
              <w:bidi w:val="0"/>
              <w:spacing w:before="0" w:after="283"/>
              <w:jc w:val="left"/>
              <w:rPr>
                <w:sz w:val="20"/>
              </w:rPr>
            </w:pPr>
            <w:r>
              <w:rPr>
                <w:b/>
                <w:sz w:val="20"/>
              </w:rPr>
              <w:t>CASH AMERICA HOLDING, INC</w:t>
            </w:r>
            <w:r>
              <w:rPr>
                <w:sz w:val="20"/>
              </w:rPr>
              <w:t>., a Delaware corporation</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By:</w:t>
            </w:r>
          </w:p>
        </w:tc>
        <w:tc>
          <w:tcPr>
            <w:tcW w:w="63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Name:</w:t>
            </w:r>
          </w:p>
        </w:tc>
        <w:tc>
          <w:tcPr>
            <w:tcW w:w="634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Title:</w:t>
            </w:r>
          </w:p>
        </w:tc>
        <w:tc>
          <w:tcPr>
            <w:tcW w:w="634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69" w:type="dxa"/>
            <w:gridSpan w:val="2"/>
            <w:tcBorders/>
            <w:vAlign w:val="center"/>
          </w:tcPr>
          <w:p>
            <w:pPr>
              <w:pStyle w:val="TableContents"/>
              <w:bidi w:val="0"/>
              <w:spacing w:before="0" w:after="283"/>
              <w:jc w:val="left"/>
              <w:rPr>
                <w:sz w:val="20"/>
              </w:rPr>
            </w:pPr>
            <w:r>
              <w:rPr>
                <w:b/>
                <w:sz w:val="20"/>
              </w:rPr>
              <w:t>CASH AMERICA MANAGEMENT L.P.</w:t>
            </w:r>
            <w:r>
              <w:rPr>
                <w:sz w:val="20"/>
              </w:rPr>
              <w:t>, a Delaware limited partnership</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sz w:val="20"/>
              </w:rPr>
            </w:pPr>
            <w:r>
              <w:rPr>
                <w:sz w:val="20"/>
              </w:rPr>
              <w:t>By: CASH AMERICA HOLDING, INC., its general partner</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By:</w:t>
            </w:r>
          </w:p>
        </w:tc>
        <w:tc>
          <w:tcPr>
            <w:tcW w:w="63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Name:</w:t>
            </w:r>
          </w:p>
        </w:tc>
        <w:tc>
          <w:tcPr>
            <w:tcW w:w="634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Title:</w:t>
            </w:r>
          </w:p>
        </w:tc>
        <w:tc>
          <w:tcPr>
            <w:tcW w:w="634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069" w:type="dxa"/>
            <w:gridSpan w:val="2"/>
            <w:tcBorders/>
            <w:vAlign w:val="center"/>
          </w:tcPr>
          <w:p>
            <w:pPr>
              <w:pStyle w:val="TableContents"/>
              <w:bidi w:val="0"/>
              <w:spacing w:before="0" w:after="283"/>
              <w:jc w:val="left"/>
              <w:rPr>
                <w:sz w:val="20"/>
              </w:rPr>
            </w:pPr>
            <w:r>
              <w:rPr>
                <w:b/>
                <w:sz w:val="20"/>
              </w:rPr>
              <w:t>CASH AMERICA PAWN L.P.</w:t>
            </w:r>
            <w:r>
              <w:rPr>
                <w:sz w:val="20"/>
              </w:rPr>
              <w:t>, a Delaware limited partnership</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sz w:val="20"/>
              </w:rPr>
            </w:pPr>
            <w:r>
              <w:rPr>
                <w:sz w:val="20"/>
              </w:rPr>
              <w:t>By: CASH AMERICA HOLDING, INC., its general partner</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34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By:</w:t>
            </w:r>
          </w:p>
        </w:tc>
        <w:tc>
          <w:tcPr>
            <w:tcW w:w="63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Name:</w:t>
            </w:r>
          </w:p>
        </w:tc>
        <w:tc>
          <w:tcPr>
            <w:tcW w:w="634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sz w:val="20"/>
              </w:rPr>
            </w:pPr>
            <w:r>
              <w:rPr>
                <w:sz w:val="20"/>
              </w:rPr>
              <w:t>Title:</w:t>
            </w:r>
          </w:p>
        </w:tc>
        <w:tc>
          <w:tcPr>
            <w:tcW w:w="634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9549" w:type="dxa"/>
        <w:jc w:val="left"/>
        <w:tblInd w:w="0" w:type="dxa"/>
        <w:tblLayout w:type="fixed"/>
        <w:tblCellMar>
          <w:top w:w="0" w:type="dxa"/>
          <w:left w:w="0" w:type="dxa"/>
          <w:bottom w:w="0" w:type="dxa"/>
          <w:right w:w="0" w:type="dxa"/>
        </w:tblCellMar>
      </w:tblPr>
      <w:tblGrid>
        <w:gridCol w:w="2960"/>
        <w:gridCol w:w="1434"/>
        <w:gridCol w:w="5155"/>
      </w:tblGrid>
      <w:tr>
        <w:trPr/>
        <w:tc>
          <w:tcPr>
            <w:tcW w:w="2960" w:type="dxa"/>
            <w:tcBorders/>
            <w:vAlign w:val="center"/>
          </w:tcPr>
          <w:p>
            <w:pPr>
              <w:pStyle w:val="TableContents"/>
              <w:bidi w:val="0"/>
              <w:spacing w:before="0" w:after="283"/>
              <w:jc w:val="left"/>
              <w:rPr>
                <w:b/>
                <w:caps/>
                <w:sz w:val="20"/>
              </w:rPr>
            </w:pPr>
            <w:r>
              <w:rPr>
                <w:b/>
                <w:caps/>
                <w:sz w:val="20"/>
                <w:u w:val="single"/>
              </w:rPr>
              <w:t>LOAN GUARANTORS (CONT’D)</w:t>
            </w:r>
            <w:r>
              <w:rPr>
                <w:b/>
                <w:caps/>
                <w:sz w:val="20"/>
              </w:rPr>
              <w:t>:</w:t>
            </w:r>
          </w:p>
        </w:tc>
        <w:tc>
          <w:tcPr>
            <w:tcW w:w="6589" w:type="dxa"/>
            <w:gridSpan w:val="2"/>
            <w:tcBorders/>
            <w:vAlign w:val="center"/>
          </w:tcPr>
          <w:p>
            <w:pPr>
              <w:pStyle w:val="TableContents"/>
              <w:bidi w:val="0"/>
              <w:spacing w:before="0" w:after="283"/>
              <w:jc w:val="left"/>
              <w:rPr>
                <w:sz w:val="20"/>
              </w:rPr>
            </w:pPr>
            <w:r>
              <w:rPr>
                <w:b/>
                <w:sz w:val="20"/>
              </w:rPr>
              <w:t>CASH AMERICA WEST, INC</w:t>
            </w:r>
            <w:r>
              <w:rPr>
                <w:sz w:val="20"/>
              </w:rPr>
              <w:t>., a Nevada corporation</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By:</w:t>
            </w:r>
          </w:p>
        </w:tc>
        <w:tc>
          <w:tcPr>
            <w:tcW w:w="5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Name:</w:t>
            </w:r>
          </w:p>
        </w:tc>
        <w:tc>
          <w:tcPr>
            <w:tcW w:w="5155"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Title:</w:t>
            </w:r>
          </w:p>
        </w:tc>
        <w:tc>
          <w:tcPr>
            <w:tcW w:w="5155"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589" w:type="dxa"/>
            <w:gridSpan w:val="2"/>
            <w:tcBorders/>
            <w:vAlign w:val="center"/>
          </w:tcPr>
          <w:p>
            <w:pPr>
              <w:pStyle w:val="TableContents"/>
              <w:bidi w:val="0"/>
              <w:spacing w:before="0" w:after="283"/>
              <w:jc w:val="left"/>
              <w:rPr>
                <w:sz w:val="20"/>
              </w:rPr>
            </w:pPr>
            <w:r>
              <w:rPr>
                <w:b/>
                <w:sz w:val="20"/>
              </w:rPr>
              <w:t>CASH AMERICA, INC</w:t>
            </w:r>
            <w:r>
              <w:rPr>
                <w:sz w:val="20"/>
              </w:rPr>
              <w:t>., a Delaware corporation</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By:</w:t>
            </w:r>
          </w:p>
        </w:tc>
        <w:tc>
          <w:tcPr>
            <w:tcW w:w="5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Name:</w:t>
            </w:r>
          </w:p>
        </w:tc>
        <w:tc>
          <w:tcPr>
            <w:tcW w:w="5155"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Title:</w:t>
            </w:r>
          </w:p>
        </w:tc>
        <w:tc>
          <w:tcPr>
            <w:tcW w:w="5155"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589" w:type="dxa"/>
            <w:gridSpan w:val="2"/>
            <w:tcBorders/>
            <w:vAlign w:val="center"/>
          </w:tcPr>
          <w:p>
            <w:pPr>
              <w:pStyle w:val="TableContents"/>
              <w:bidi w:val="0"/>
              <w:spacing w:before="0" w:after="283"/>
              <w:jc w:val="left"/>
              <w:rPr>
                <w:sz w:val="20"/>
              </w:rPr>
            </w:pPr>
            <w:r>
              <w:rPr>
                <w:b/>
                <w:sz w:val="20"/>
              </w:rPr>
              <w:t>CASH AMERICA, INC. OF ILLINOIS</w:t>
            </w:r>
            <w:r>
              <w:rPr>
                <w:sz w:val="20"/>
              </w:rPr>
              <w:t>, an Illinois corporation</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By:</w:t>
            </w:r>
          </w:p>
        </w:tc>
        <w:tc>
          <w:tcPr>
            <w:tcW w:w="5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Name:</w:t>
            </w:r>
          </w:p>
        </w:tc>
        <w:tc>
          <w:tcPr>
            <w:tcW w:w="5155"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Title:</w:t>
            </w:r>
          </w:p>
        </w:tc>
        <w:tc>
          <w:tcPr>
            <w:tcW w:w="5155"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589" w:type="dxa"/>
            <w:gridSpan w:val="2"/>
            <w:tcBorders/>
            <w:vAlign w:val="center"/>
          </w:tcPr>
          <w:p>
            <w:pPr>
              <w:pStyle w:val="TableContents"/>
              <w:bidi w:val="0"/>
              <w:spacing w:before="0" w:after="283"/>
              <w:jc w:val="left"/>
              <w:rPr>
                <w:sz w:val="20"/>
              </w:rPr>
            </w:pPr>
            <w:r>
              <w:rPr>
                <w:b/>
                <w:sz w:val="20"/>
              </w:rPr>
              <w:t>CASH AMERICA, INC. OF LOUISIANA</w:t>
            </w:r>
            <w:r>
              <w:rPr>
                <w:sz w:val="20"/>
              </w:rPr>
              <w:t>, a Delaware corporation</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By:</w:t>
            </w:r>
          </w:p>
        </w:tc>
        <w:tc>
          <w:tcPr>
            <w:tcW w:w="5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Name:</w:t>
            </w:r>
          </w:p>
        </w:tc>
        <w:tc>
          <w:tcPr>
            <w:tcW w:w="5155"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Title:</w:t>
            </w:r>
          </w:p>
        </w:tc>
        <w:tc>
          <w:tcPr>
            <w:tcW w:w="5155"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589" w:type="dxa"/>
            <w:gridSpan w:val="2"/>
            <w:tcBorders/>
            <w:vAlign w:val="center"/>
          </w:tcPr>
          <w:p>
            <w:pPr>
              <w:pStyle w:val="TableContents"/>
              <w:bidi w:val="0"/>
              <w:spacing w:before="0" w:after="283"/>
              <w:jc w:val="left"/>
              <w:rPr>
                <w:sz w:val="20"/>
              </w:rPr>
            </w:pPr>
            <w:r>
              <w:rPr>
                <w:b/>
                <w:sz w:val="20"/>
              </w:rPr>
              <w:t>CASH AMERICA, INC. OF NORTH CAROLINA</w:t>
            </w:r>
            <w:r>
              <w:rPr>
                <w:sz w:val="20"/>
              </w:rPr>
              <w:t>, a North Carolina corporation</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pPr>
            <w:r>
              <w:rPr/>
              <w:t> </w:t>
            </w:r>
          </w:p>
        </w:tc>
        <w:tc>
          <w:tcPr>
            <w:tcW w:w="515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By:</w:t>
            </w:r>
          </w:p>
        </w:tc>
        <w:tc>
          <w:tcPr>
            <w:tcW w:w="5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Name:</w:t>
            </w:r>
          </w:p>
        </w:tc>
        <w:tc>
          <w:tcPr>
            <w:tcW w:w="5155"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left"/>
              <w:rPr>
                <w:sz w:val="20"/>
              </w:rPr>
            </w:pPr>
            <w:r>
              <w:rPr>
                <w:sz w:val="20"/>
              </w:rPr>
              <w:t>Title:</w:t>
            </w:r>
          </w:p>
        </w:tc>
        <w:tc>
          <w:tcPr>
            <w:tcW w:w="51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2960"/>
        <w:gridCol w:w="1148"/>
        <w:gridCol w:w="4121"/>
      </w:tblGrid>
      <w:tr>
        <w:trPr/>
        <w:tc>
          <w:tcPr>
            <w:tcW w:w="2960" w:type="dxa"/>
            <w:tcBorders/>
            <w:vAlign w:val="center"/>
          </w:tcPr>
          <w:p>
            <w:pPr>
              <w:pStyle w:val="TableContents"/>
              <w:bidi w:val="0"/>
              <w:spacing w:before="0" w:after="283"/>
              <w:jc w:val="left"/>
              <w:rPr>
                <w:b/>
                <w:caps/>
                <w:sz w:val="20"/>
              </w:rPr>
            </w:pPr>
            <w:r>
              <w:rPr>
                <w:b/>
                <w:caps/>
                <w:sz w:val="20"/>
                <w:u w:val="single"/>
              </w:rPr>
              <w:t>LOAN GUARANTORS (CONT’D)</w:t>
            </w:r>
            <w:r>
              <w:rPr>
                <w:b/>
                <w:caps/>
                <w:sz w:val="20"/>
              </w:rPr>
              <w:t>:</w:t>
            </w:r>
          </w:p>
        </w:tc>
        <w:tc>
          <w:tcPr>
            <w:tcW w:w="5269" w:type="dxa"/>
            <w:gridSpan w:val="2"/>
            <w:tcBorders/>
            <w:vAlign w:val="center"/>
          </w:tcPr>
          <w:p>
            <w:pPr>
              <w:pStyle w:val="TableContents"/>
              <w:bidi w:val="0"/>
              <w:spacing w:before="0" w:after="283"/>
              <w:jc w:val="left"/>
              <w:rPr>
                <w:sz w:val="20"/>
              </w:rPr>
            </w:pPr>
            <w:r>
              <w:rPr>
                <w:b/>
                <w:sz w:val="20"/>
              </w:rPr>
              <w:t>CASH AMERICA OF MISSOURI, INC</w:t>
            </w:r>
            <w:r>
              <w:rPr>
                <w:sz w:val="20"/>
              </w:rPr>
              <w:t>., a Missouri corporation</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412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20"/>
              </w:rPr>
            </w:pPr>
            <w:r>
              <w:rPr>
                <w:sz w:val="20"/>
              </w:rPr>
              <w:t>By:</w:t>
            </w:r>
          </w:p>
        </w:tc>
        <w:tc>
          <w:tcPr>
            <w:tcW w:w="41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20"/>
              </w:rPr>
            </w:pPr>
            <w:r>
              <w:rPr>
                <w:sz w:val="20"/>
              </w:rPr>
              <w:t>Name:</w:t>
            </w:r>
          </w:p>
        </w:tc>
        <w:tc>
          <w:tcPr>
            <w:tcW w:w="412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20"/>
              </w:rPr>
            </w:pPr>
            <w:r>
              <w:rPr>
                <w:sz w:val="20"/>
              </w:rPr>
              <w:t>Title:</w:t>
            </w:r>
          </w:p>
        </w:tc>
        <w:tc>
          <w:tcPr>
            <w:tcW w:w="412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412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412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283"/>
              <w:jc w:val="left"/>
              <w:rPr>
                <w:sz w:val="20"/>
              </w:rPr>
            </w:pPr>
            <w:r>
              <w:rPr>
                <w:b/>
                <w:sz w:val="20"/>
              </w:rPr>
              <w:t>GEORGIA CASH AMERICA, INC</w:t>
            </w:r>
            <w:r>
              <w:rPr>
                <w:sz w:val="20"/>
              </w:rPr>
              <w:t>., a Georgia corporation</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412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20"/>
              </w:rPr>
            </w:pPr>
            <w:r>
              <w:rPr>
                <w:sz w:val="20"/>
              </w:rPr>
              <w:t>By:</w:t>
            </w:r>
          </w:p>
        </w:tc>
        <w:tc>
          <w:tcPr>
            <w:tcW w:w="41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20"/>
              </w:rPr>
            </w:pPr>
            <w:r>
              <w:rPr>
                <w:sz w:val="20"/>
              </w:rPr>
              <w:t>Name:</w:t>
            </w:r>
          </w:p>
        </w:tc>
        <w:tc>
          <w:tcPr>
            <w:tcW w:w="412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20"/>
              </w:rPr>
            </w:pPr>
            <w:r>
              <w:rPr>
                <w:sz w:val="20"/>
              </w:rPr>
              <w:t>Title:</w:t>
            </w:r>
          </w:p>
        </w:tc>
        <w:tc>
          <w:tcPr>
            <w:tcW w:w="412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6459" w:type="dxa"/>
        <w:jc w:val="left"/>
        <w:tblInd w:w="0" w:type="dxa"/>
        <w:tblLayout w:type="fixed"/>
        <w:tblCellMar>
          <w:top w:w="0" w:type="dxa"/>
          <w:left w:w="0" w:type="dxa"/>
          <w:bottom w:w="0" w:type="dxa"/>
          <w:right w:w="0" w:type="dxa"/>
        </w:tblCellMar>
      </w:tblPr>
      <w:tblGrid>
        <w:gridCol w:w="2960"/>
        <w:gridCol w:w="762"/>
        <w:gridCol w:w="2737"/>
      </w:tblGrid>
      <w:tr>
        <w:trPr/>
        <w:tc>
          <w:tcPr>
            <w:tcW w:w="2960" w:type="dxa"/>
            <w:tcBorders/>
            <w:vAlign w:val="center"/>
          </w:tcPr>
          <w:p>
            <w:pPr>
              <w:pStyle w:val="TableContents"/>
              <w:bidi w:val="0"/>
              <w:spacing w:before="0" w:after="283"/>
              <w:jc w:val="left"/>
              <w:rPr>
                <w:b/>
                <w:caps/>
                <w:sz w:val="20"/>
              </w:rPr>
            </w:pPr>
            <w:r>
              <w:rPr>
                <w:b/>
                <w:caps/>
                <w:sz w:val="20"/>
                <w:u w:val="single"/>
              </w:rPr>
              <w:t>LOAN GUARANTORS (CONT’D)</w:t>
            </w:r>
            <w:r>
              <w:rPr>
                <w:b/>
                <w:caps/>
                <w:sz w:val="20"/>
              </w:rPr>
              <w:t>:</w:t>
            </w:r>
          </w:p>
        </w:tc>
        <w:tc>
          <w:tcPr>
            <w:tcW w:w="3499" w:type="dxa"/>
            <w:gridSpan w:val="2"/>
            <w:tcBorders/>
            <w:vAlign w:val="center"/>
          </w:tcPr>
          <w:p>
            <w:pPr>
              <w:pStyle w:val="TableContents"/>
              <w:bidi w:val="0"/>
              <w:spacing w:before="0" w:after="283"/>
              <w:jc w:val="left"/>
              <w:rPr>
                <w:sz w:val="20"/>
              </w:rPr>
            </w:pPr>
            <w:r>
              <w:rPr>
                <w:b/>
                <w:sz w:val="20"/>
              </w:rPr>
              <w:t>FIRSTCASH, INC.</w:t>
            </w:r>
            <w:r>
              <w:rPr>
                <w:sz w:val="20"/>
              </w:rPr>
              <w:t>, a Nevada corporation</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By:</w:t>
            </w:r>
          </w:p>
        </w:tc>
        <w:tc>
          <w:tcPr>
            <w:tcW w:w="27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Name:</w:t>
            </w:r>
          </w:p>
        </w:tc>
        <w:tc>
          <w:tcPr>
            <w:tcW w:w="2737"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Title:</w:t>
            </w:r>
          </w:p>
        </w:tc>
        <w:tc>
          <w:tcPr>
            <w:tcW w:w="2737"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sz w:val="20"/>
              </w:rPr>
            </w:pPr>
            <w:r>
              <w:rPr>
                <w:b/>
                <w:sz w:val="20"/>
              </w:rPr>
              <w:t>FCFS OK, INC.</w:t>
            </w:r>
            <w:r>
              <w:rPr>
                <w:sz w:val="20"/>
              </w:rPr>
              <w:t>, an Oklahoma corporation</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By:</w:t>
            </w:r>
          </w:p>
        </w:tc>
        <w:tc>
          <w:tcPr>
            <w:tcW w:w="27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Name:</w:t>
            </w:r>
          </w:p>
        </w:tc>
        <w:tc>
          <w:tcPr>
            <w:tcW w:w="2737"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Title:</w:t>
            </w:r>
          </w:p>
        </w:tc>
        <w:tc>
          <w:tcPr>
            <w:tcW w:w="2737"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sz w:val="20"/>
              </w:rPr>
            </w:pPr>
            <w:r>
              <w:rPr>
                <w:b/>
                <w:sz w:val="20"/>
              </w:rPr>
              <w:t xml:space="preserve">FCFS MO, INC., </w:t>
            </w:r>
            <w:r>
              <w:rPr>
                <w:sz w:val="20"/>
              </w:rPr>
              <w:t>a Missouri corporation</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By:</w:t>
            </w:r>
          </w:p>
        </w:tc>
        <w:tc>
          <w:tcPr>
            <w:tcW w:w="27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Name:</w:t>
            </w:r>
          </w:p>
        </w:tc>
        <w:tc>
          <w:tcPr>
            <w:tcW w:w="2737"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Title:</w:t>
            </w:r>
          </w:p>
        </w:tc>
        <w:tc>
          <w:tcPr>
            <w:tcW w:w="2737"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sz w:val="20"/>
              </w:rPr>
            </w:pPr>
            <w:r>
              <w:rPr>
                <w:b/>
                <w:sz w:val="20"/>
              </w:rPr>
              <w:t>FCFS IN, INC</w:t>
            </w:r>
            <w:r>
              <w:rPr>
                <w:sz w:val="20"/>
              </w:rPr>
              <w:t>., an Indiana corporation</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2737"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By:</w:t>
            </w:r>
          </w:p>
        </w:tc>
        <w:tc>
          <w:tcPr>
            <w:tcW w:w="27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Name:</w:t>
            </w:r>
          </w:p>
        </w:tc>
        <w:tc>
          <w:tcPr>
            <w:tcW w:w="2737"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Title:</w:t>
            </w:r>
          </w:p>
        </w:tc>
        <w:tc>
          <w:tcPr>
            <w:tcW w:w="2737"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9189" w:type="dxa"/>
        <w:jc w:val="left"/>
        <w:tblInd w:w="0" w:type="dxa"/>
        <w:tblLayout w:type="fixed"/>
        <w:tblCellMar>
          <w:top w:w="0" w:type="dxa"/>
          <w:left w:w="0" w:type="dxa"/>
          <w:bottom w:w="0" w:type="dxa"/>
          <w:right w:w="0" w:type="dxa"/>
        </w:tblCellMar>
      </w:tblPr>
      <w:tblGrid>
        <w:gridCol w:w="2960"/>
        <w:gridCol w:w="1358"/>
        <w:gridCol w:w="4871"/>
      </w:tblGrid>
      <w:tr>
        <w:trPr/>
        <w:tc>
          <w:tcPr>
            <w:tcW w:w="2960" w:type="dxa"/>
            <w:tcBorders/>
            <w:vAlign w:val="center"/>
          </w:tcPr>
          <w:p>
            <w:pPr>
              <w:pStyle w:val="TableContents"/>
              <w:bidi w:val="0"/>
              <w:spacing w:before="0" w:after="283"/>
              <w:jc w:val="left"/>
              <w:rPr>
                <w:b/>
                <w:caps/>
                <w:sz w:val="20"/>
              </w:rPr>
            </w:pPr>
            <w:r>
              <w:rPr>
                <w:b/>
                <w:caps/>
                <w:sz w:val="20"/>
                <w:u w:val="single"/>
              </w:rPr>
              <w:t>LOAN GUARANTORS (CONT’D)</w:t>
            </w:r>
            <w:r>
              <w:rPr>
                <w:b/>
                <w:caps/>
                <w:sz w:val="20"/>
              </w:rPr>
              <w:t>:</w:t>
            </w:r>
          </w:p>
        </w:tc>
        <w:tc>
          <w:tcPr>
            <w:tcW w:w="6229" w:type="dxa"/>
            <w:gridSpan w:val="2"/>
            <w:tcBorders/>
            <w:vAlign w:val="center"/>
          </w:tcPr>
          <w:p>
            <w:pPr>
              <w:pStyle w:val="TableContents"/>
              <w:bidi w:val="0"/>
              <w:spacing w:before="0" w:after="283"/>
              <w:jc w:val="left"/>
              <w:rPr>
                <w:sz w:val="20"/>
              </w:rPr>
            </w:pPr>
            <w:r>
              <w:rPr>
                <w:b/>
                <w:sz w:val="20"/>
              </w:rPr>
              <w:t xml:space="preserve">FCFS KY, INC., </w:t>
            </w:r>
            <w:r>
              <w:rPr>
                <w:sz w:val="20"/>
              </w:rPr>
              <w:t>a Kentucky corporation</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487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sz w:val="20"/>
              </w:rPr>
            </w:pPr>
            <w:r>
              <w:rPr>
                <w:sz w:val="20"/>
              </w:rPr>
              <w:t>By:</w:t>
            </w:r>
          </w:p>
        </w:tc>
        <w:tc>
          <w:tcPr>
            <w:tcW w:w="487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sz w:val="20"/>
              </w:rPr>
            </w:pPr>
            <w:r>
              <w:rPr>
                <w:sz w:val="20"/>
              </w:rPr>
              <w:t>Name:</w:t>
            </w:r>
          </w:p>
        </w:tc>
        <w:tc>
          <w:tcPr>
            <w:tcW w:w="487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sz w:val="20"/>
              </w:rPr>
            </w:pPr>
            <w:r>
              <w:rPr>
                <w:sz w:val="20"/>
              </w:rPr>
              <w:t>Title:</w:t>
            </w:r>
          </w:p>
        </w:tc>
        <w:tc>
          <w:tcPr>
            <w:tcW w:w="487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487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487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b/>
                <w:sz w:val="20"/>
              </w:rPr>
              <w:t xml:space="preserve">AMERICAN FIRST FINANCE, LLC, </w:t>
            </w:r>
            <w:r>
              <w:rPr>
                <w:sz w:val="20"/>
              </w:rPr>
              <w:t>a Delaware limited liability company</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487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sz w:val="20"/>
              </w:rPr>
            </w:pPr>
            <w:r>
              <w:rPr>
                <w:sz w:val="20"/>
              </w:rPr>
              <w:t>By:</w:t>
            </w:r>
          </w:p>
        </w:tc>
        <w:tc>
          <w:tcPr>
            <w:tcW w:w="487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L. Wessel</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sz w:val="20"/>
              </w:rPr>
            </w:pPr>
            <w:r>
              <w:rPr>
                <w:sz w:val="20"/>
              </w:rPr>
              <w:t>Name:</w:t>
            </w:r>
          </w:p>
        </w:tc>
        <w:tc>
          <w:tcPr>
            <w:tcW w:w="4871" w:type="dxa"/>
            <w:tcBorders/>
            <w:vAlign w:val="center"/>
          </w:tcPr>
          <w:p>
            <w:pPr>
              <w:pStyle w:val="TableContents"/>
              <w:bidi w:val="0"/>
              <w:spacing w:before="0" w:after="283"/>
              <w:jc w:val="left"/>
              <w:rPr>
                <w:sz w:val="20"/>
              </w:rPr>
            </w:pPr>
            <w:r>
              <w:rPr>
                <w:sz w:val="20"/>
              </w:rPr>
              <w:t>Rick L. Wessel</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sz w:val="20"/>
              </w:rPr>
            </w:pPr>
            <w:r>
              <w:rPr>
                <w:sz w:val="20"/>
              </w:rPr>
              <w:t>Title:</w:t>
            </w:r>
          </w:p>
        </w:tc>
        <w:tc>
          <w:tcPr>
            <w:tcW w:w="4871" w:type="dxa"/>
            <w:tcBorders/>
            <w:vAlign w:val="center"/>
          </w:tcPr>
          <w:p>
            <w:pPr>
              <w:pStyle w:val="TableContents"/>
              <w:bidi w:val="0"/>
              <w:spacing w:before="0" w:after="283"/>
              <w:jc w:val="left"/>
              <w:rPr>
                <w:sz w:val="20"/>
              </w:rPr>
            </w:pPr>
            <w:r>
              <w:rPr>
                <w:sz w:val="20"/>
              </w:rPr>
              <w:t>Chief Executive Officer</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487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sz w:val="20"/>
              </w:rPr>
              <w:t>Address for Notices for all Loan Guarantors:</w:t>
            </w:r>
          </w:p>
        </w:tc>
      </w:tr>
      <w:tr>
        <w:trPr/>
        <w:tc>
          <w:tcPr>
            <w:tcW w:w="296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4871"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sz w:val="20"/>
              </w:rPr>
              <w:t>1600 W. 7</w:t>
            </w:r>
            <w:r>
              <w:rPr>
                <w:position w:val="7"/>
                <w:sz w:val="16"/>
                <w:sz w:val="20"/>
              </w:rPr>
              <w:t>th</w:t>
            </w:r>
            <w:r>
              <w:rPr>
                <w:sz w:val="20"/>
              </w:rPr>
              <w:t xml:space="preserve"> Street</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sz w:val="20"/>
              </w:rPr>
              <w:t>Fort Worth, TX 76102</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sz w:val="20"/>
              </w:rPr>
              <w:t>Attention: Rick L. Wessel</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sz w:val="20"/>
              </w:rPr>
              <w:t>Phone: *</w:t>
            </w:r>
          </w:p>
        </w:tc>
      </w:tr>
      <w:tr>
        <w:trPr/>
        <w:tc>
          <w:tcPr>
            <w:tcW w:w="296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283"/>
              <w:jc w:val="left"/>
              <w:rPr>
                <w:sz w:val="20"/>
              </w:rPr>
            </w:pPr>
            <w:r>
              <w:rPr>
                <w:sz w:val="20"/>
              </w:rPr>
              <w:t>Fax: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5409" w:type="dxa"/>
        <w:jc w:val="left"/>
        <w:tblInd w:w="0" w:type="dxa"/>
        <w:tblLayout w:type="fixed"/>
        <w:tblCellMar>
          <w:top w:w="0" w:type="dxa"/>
          <w:left w:w="0" w:type="dxa"/>
          <w:bottom w:w="0" w:type="dxa"/>
          <w:right w:w="0" w:type="dxa"/>
        </w:tblCellMar>
      </w:tblPr>
      <w:tblGrid>
        <w:gridCol w:w="785"/>
        <w:gridCol w:w="962"/>
        <w:gridCol w:w="3662"/>
      </w:tblGrid>
      <w:tr>
        <w:trPr/>
        <w:tc>
          <w:tcPr>
            <w:tcW w:w="785" w:type="dxa"/>
            <w:tcBorders/>
            <w:vAlign w:val="center"/>
          </w:tcPr>
          <w:p>
            <w:pPr>
              <w:pStyle w:val="TableContents"/>
              <w:bidi w:val="0"/>
              <w:spacing w:before="0" w:after="283"/>
              <w:jc w:val="left"/>
              <w:rPr>
                <w:b/>
                <w:sz w:val="20"/>
              </w:rPr>
            </w:pPr>
            <w:r>
              <w:rPr>
                <w:b/>
                <w:sz w:val="20"/>
                <w:u w:val="single"/>
              </w:rPr>
              <w:t>AGENT</w:t>
            </w:r>
            <w:r>
              <w:rPr>
                <w:b/>
                <w:sz w:val="20"/>
              </w:rPr>
              <w:t>:</w:t>
            </w:r>
          </w:p>
        </w:tc>
        <w:tc>
          <w:tcPr>
            <w:tcW w:w="4624" w:type="dxa"/>
            <w:gridSpan w:val="2"/>
            <w:tcBorders/>
            <w:vAlign w:val="center"/>
          </w:tcPr>
          <w:p>
            <w:pPr>
              <w:pStyle w:val="TableContents"/>
              <w:bidi w:val="0"/>
              <w:spacing w:before="0" w:after="283"/>
              <w:jc w:val="left"/>
              <w:rPr>
                <w:sz w:val="20"/>
              </w:rPr>
            </w:pPr>
            <w:r>
              <w:rPr>
                <w:b/>
                <w:sz w:val="20"/>
              </w:rPr>
              <w:t>WELLS FARGO BANK, NATIONAL ASSOCIATION</w:t>
            </w:r>
            <w:r>
              <w:rPr>
                <w:sz w:val="20"/>
              </w:rPr>
              <w:t>,</w:t>
            </w:r>
          </w:p>
        </w:tc>
      </w:tr>
      <w:tr>
        <w:trPr/>
        <w:tc>
          <w:tcPr>
            <w:tcW w:w="78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sz w:val="20"/>
              </w:rPr>
            </w:pPr>
            <w:r>
              <w:rPr>
                <w:sz w:val="20"/>
              </w:rPr>
              <w:t>as Agent</w:t>
            </w:r>
          </w:p>
        </w:tc>
      </w:tr>
      <w:tr>
        <w:trPr/>
        <w:tc>
          <w:tcPr>
            <w:tcW w:w="78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sz w:val="20"/>
              </w:rPr>
            </w:pPr>
            <w:r>
              <w:rPr>
                <w:sz w:val="20"/>
              </w:rPr>
              <w:t>By:</w:t>
            </w:r>
          </w:p>
        </w:tc>
        <w:tc>
          <w:tcPr>
            <w:tcW w:w="3662"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Heather Hoopingarner</w:t>
            </w:r>
          </w:p>
        </w:tc>
      </w:tr>
      <w:tr>
        <w:trPr/>
        <w:tc>
          <w:tcPr>
            <w:tcW w:w="78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sz w:val="20"/>
              </w:rPr>
            </w:pPr>
            <w:r>
              <w:rPr>
                <w:sz w:val="20"/>
              </w:rPr>
              <w:t>Name:</w:t>
            </w:r>
          </w:p>
        </w:tc>
        <w:tc>
          <w:tcPr>
            <w:tcW w:w="3662" w:type="dxa"/>
            <w:tcBorders/>
            <w:vAlign w:val="center"/>
          </w:tcPr>
          <w:p>
            <w:pPr>
              <w:pStyle w:val="TableContents"/>
              <w:bidi w:val="0"/>
              <w:spacing w:before="0" w:after="283"/>
              <w:jc w:val="left"/>
              <w:rPr>
                <w:sz w:val="20"/>
              </w:rPr>
            </w:pPr>
            <w:r>
              <w:rPr>
                <w:sz w:val="20"/>
              </w:rPr>
              <w:t>Heather Hoopingarner</w:t>
            </w:r>
          </w:p>
        </w:tc>
      </w:tr>
      <w:tr>
        <w:trPr/>
        <w:tc>
          <w:tcPr>
            <w:tcW w:w="78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sz w:val="20"/>
              </w:rPr>
            </w:pPr>
            <w:r>
              <w:rPr>
                <w:sz w:val="20"/>
              </w:rPr>
              <w:t>Title:</w:t>
            </w:r>
          </w:p>
        </w:tc>
        <w:tc>
          <w:tcPr>
            <w:tcW w:w="3662" w:type="dxa"/>
            <w:tcBorders/>
            <w:vAlign w:val="center"/>
          </w:tcPr>
          <w:p>
            <w:pPr>
              <w:pStyle w:val="TableContents"/>
              <w:bidi w:val="0"/>
              <w:spacing w:before="0" w:after="283"/>
              <w:jc w:val="left"/>
              <w:rPr>
                <w:sz w:val="20"/>
              </w:rPr>
            </w:pPr>
            <w:r>
              <w:rPr>
                <w:sz w:val="20"/>
              </w:rPr>
              <w:t>Executive Director</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959" w:type="dxa"/>
        <w:jc w:val="left"/>
        <w:tblInd w:w="0" w:type="dxa"/>
        <w:tblLayout w:type="fixed"/>
        <w:tblCellMar>
          <w:top w:w="0" w:type="dxa"/>
          <w:left w:w="0" w:type="dxa"/>
          <w:bottom w:w="0" w:type="dxa"/>
          <w:right w:w="0" w:type="dxa"/>
        </w:tblCellMar>
      </w:tblPr>
      <w:tblGrid>
        <w:gridCol w:w="1010"/>
        <w:gridCol w:w="559"/>
        <w:gridCol w:w="390"/>
      </w:tblGrid>
      <w:tr>
        <w:trPr/>
        <w:tc>
          <w:tcPr>
            <w:tcW w:w="1010" w:type="dxa"/>
            <w:tcBorders/>
            <w:vAlign w:val="center"/>
          </w:tcPr>
          <w:p>
            <w:pPr>
              <w:pStyle w:val="TableContents"/>
              <w:bidi w:val="0"/>
              <w:spacing w:before="0" w:after="283"/>
              <w:jc w:val="left"/>
              <w:rPr>
                <w:b/>
                <w:sz w:val="20"/>
              </w:rPr>
            </w:pPr>
            <w:r>
              <w:rPr>
                <w:b/>
                <w:sz w:val="20"/>
                <w:u w:val="single"/>
              </w:rPr>
              <w:t>LENDERS</w:t>
            </w:r>
            <w:r>
              <w:rPr>
                <w:b/>
                <w:sz w:val="20"/>
              </w:rPr>
              <w:t>:</w:t>
            </w:r>
          </w:p>
        </w:tc>
        <w:tc>
          <w:tcPr>
            <w:tcW w:w="559" w:type="dxa"/>
            <w:tcBorders/>
            <w:vAlign w:val="center"/>
          </w:tcPr>
          <w:p>
            <w:pPr>
              <w:pStyle w:val="TableContents"/>
              <w:bidi w:val="0"/>
              <w:spacing w:before="0" w:after="283"/>
              <w:jc w:val="left"/>
              <w:rPr>
                <w:sz w:val="20"/>
              </w:rPr>
            </w:pPr>
            <w:r>
              <w:rPr>
                <w:b/>
                <w:sz w:val="20"/>
              </w:rPr>
              <w:t>*</w:t>
            </w:r>
            <w:r>
              <w:rPr>
                <w:sz w:val="20"/>
              </w:rPr>
              <w:t>,</w:t>
            </w:r>
          </w:p>
        </w:tc>
        <w:tc>
          <w:tcPr>
            <w:tcW w:w="39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sz w:val="20"/>
              </w:rPr>
            </w:pPr>
            <w:r>
              <w:rPr>
                <w:sz w:val="20"/>
              </w:rPr>
              <w:t>as a Lender</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By:</w:t>
            </w:r>
          </w:p>
        </w:tc>
        <w:tc>
          <w:tcPr>
            <w:tcW w:w="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Name:</w:t>
            </w:r>
          </w:p>
        </w:tc>
        <w:tc>
          <w:tcPr>
            <w:tcW w:w="390" w:type="dxa"/>
            <w:tcBorders/>
            <w:vAlign w:val="center"/>
          </w:tcPr>
          <w:p>
            <w:pPr>
              <w:pStyle w:val="TableContents"/>
              <w:bidi w:val="0"/>
              <w:spacing w:before="0" w:after="283"/>
              <w:jc w:val="left"/>
              <w:rPr>
                <w:sz w:val="20"/>
              </w:rPr>
            </w:pPr>
            <w:r>
              <w:rPr>
                <w:sz w:val="20"/>
              </w:rPr>
              <w:t>*</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Title:</w:t>
            </w:r>
          </w:p>
        </w:tc>
        <w:tc>
          <w:tcPr>
            <w:tcW w:w="390" w:type="dxa"/>
            <w:tcBorders/>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959" w:type="dxa"/>
        <w:jc w:val="left"/>
        <w:tblInd w:w="0" w:type="dxa"/>
        <w:tblLayout w:type="fixed"/>
        <w:tblCellMar>
          <w:top w:w="0" w:type="dxa"/>
          <w:left w:w="0" w:type="dxa"/>
          <w:bottom w:w="0" w:type="dxa"/>
          <w:right w:w="0" w:type="dxa"/>
        </w:tblCellMar>
      </w:tblPr>
      <w:tblGrid>
        <w:gridCol w:w="1010"/>
        <w:gridCol w:w="559"/>
        <w:gridCol w:w="390"/>
      </w:tblGrid>
      <w:tr>
        <w:trPr/>
        <w:tc>
          <w:tcPr>
            <w:tcW w:w="1010" w:type="dxa"/>
            <w:tcBorders/>
            <w:vAlign w:val="center"/>
          </w:tcPr>
          <w:p>
            <w:pPr>
              <w:pStyle w:val="TableContents"/>
              <w:bidi w:val="0"/>
              <w:spacing w:before="0" w:after="283"/>
              <w:jc w:val="left"/>
              <w:rPr>
                <w:b/>
                <w:sz w:val="20"/>
              </w:rPr>
            </w:pPr>
            <w:r>
              <w:rPr>
                <w:b/>
                <w:sz w:val="20"/>
                <w:u w:val="single"/>
              </w:rPr>
              <w:t>LENDERS</w:t>
            </w:r>
            <w:r>
              <w:rPr>
                <w:b/>
                <w:sz w:val="20"/>
              </w:rPr>
              <w:t>:</w:t>
            </w:r>
          </w:p>
        </w:tc>
        <w:tc>
          <w:tcPr>
            <w:tcW w:w="559" w:type="dxa"/>
            <w:tcBorders/>
            <w:vAlign w:val="center"/>
          </w:tcPr>
          <w:p>
            <w:pPr>
              <w:pStyle w:val="TableContents"/>
              <w:bidi w:val="0"/>
              <w:spacing w:before="0" w:after="283"/>
              <w:jc w:val="left"/>
              <w:rPr>
                <w:sz w:val="20"/>
              </w:rPr>
            </w:pPr>
            <w:r>
              <w:rPr>
                <w:b/>
                <w:sz w:val="20"/>
              </w:rPr>
              <w:t>*</w:t>
            </w:r>
            <w:r>
              <w:rPr>
                <w:sz w:val="20"/>
              </w:rPr>
              <w:t>,</w:t>
            </w:r>
          </w:p>
        </w:tc>
        <w:tc>
          <w:tcPr>
            <w:tcW w:w="39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sz w:val="20"/>
              </w:rPr>
            </w:pPr>
            <w:r>
              <w:rPr>
                <w:sz w:val="20"/>
              </w:rPr>
              <w:t>as a Lender</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By:</w:t>
            </w:r>
          </w:p>
        </w:tc>
        <w:tc>
          <w:tcPr>
            <w:tcW w:w="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Name:</w:t>
            </w:r>
          </w:p>
        </w:tc>
        <w:tc>
          <w:tcPr>
            <w:tcW w:w="390" w:type="dxa"/>
            <w:tcBorders/>
            <w:vAlign w:val="center"/>
          </w:tcPr>
          <w:p>
            <w:pPr>
              <w:pStyle w:val="TableContents"/>
              <w:bidi w:val="0"/>
              <w:spacing w:before="0" w:after="283"/>
              <w:jc w:val="left"/>
              <w:rPr>
                <w:sz w:val="20"/>
              </w:rPr>
            </w:pPr>
            <w:r>
              <w:rPr>
                <w:sz w:val="20"/>
              </w:rPr>
              <w:t>*</w:t>
            </w:r>
          </w:p>
        </w:tc>
      </w:tr>
      <w:tr>
        <w:trPr/>
        <w:tc>
          <w:tcPr>
            <w:tcW w:w="101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Title:</w:t>
            </w:r>
          </w:p>
        </w:tc>
        <w:tc>
          <w:tcPr>
            <w:tcW w:w="390" w:type="dxa"/>
            <w:tcBorders/>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854" w:type="dxa"/>
        <w:jc w:val="left"/>
        <w:tblInd w:w="0" w:type="dxa"/>
        <w:tblLayout w:type="fixed"/>
        <w:tblCellMar>
          <w:top w:w="0" w:type="dxa"/>
          <w:left w:w="0" w:type="dxa"/>
          <w:bottom w:w="0" w:type="dxa"/>
          <w:right w:w="0" w:type="dxa"/>
        </w:tblCellMar>
      </w:tblPr>
      <w:tblGrid>
        <w:gridCol w:w="905"/>
        <w:gridCol w:w="559"/>
        <w:gridCol w:w="390"/>
      </w:tblGrid>
      <w:tr>
        <w:trPr/>
        <w:tc>
          <w:tcPr>
            <w:tcW w:w="905" w:type="dxa"/>
            <w:tcBorders/>
            <w:vAlign w:val="center"/>
          </w:tcPr>
          <w:p>
            <w:pPr>
              <w:pStyle w:val="TableContents"/>
              <w:bidi w:val="0"/>
              <w:spacing w:before="0" w:after="283"/>
              <w:jc w:val="left"/>
              <w:rPr>
                <w:b/>
                <w:sz w:val="20"/>
              </w:rPr>
            </w:pPr>
            <w:r>
              <w:rPr>
                <w:b/>
                <w:sz w:val="20"/>
                <w:u w:val="single"/>
              </w:rPr>
              <w:t>LENDER</w:t>
            </w:r>
            <w:r>
              <w:rPr>
                <w:b/>
                <w:sz w:val="20"/>
              </w:rPr>
              <w:t>:</w:t>
            </w:r>
          </w:p>
        </w:tc>
        <w:tc>
          <w:tcPr>
            <w:tcW w:w="559" w:type="dxa"/>
            <w:tcBorders/>
            <w:vAlign w:val="center"/>
          </w:tcPr>
          <w:p>
            <w:pPr>
              <w:pStyle w:val="TableContents"/>
              <w:bidi w:val="0"/>
              <w:spacing w:before="0" w:after="283"/>
              <w:jc w:val="left"/>
              <w:rPr>
                <w:sz w:val="20"/>
              </w:rPr>
            </w:pPr>
            <w:r>
              <w:rPr>
                <w:b/>
                <w:sz w:val="20"/>
              </w:rPr>
              <w:t>*</w:t>
            </w:r>
            <w:r>
              <w:rPr>
                <w:sz w:val="20"/>
              </w:rPr>
              <w:t>,</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sz w:val="20"/>
              </w:rPr>
            </w:pPr>
            <w:r>
              <w:rPr>
                <w:sz w:val="20"/>
              </w:rPr>
              <w:t>as a Lender</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By:</w:t>
            </w:r>
          </w:p>
        </w:tc>
        <w:tc>
          <w:tcPr>
            <w:tcW w:w="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Name:</w:t>
            </w:r>
          </w:p>
        </w:tc>
        <w:tc>
          <w:tcPr>
            <w:tcW w:w="390" w:type="dxa"/>
            <w:tcBorders/>
            <w:vAlign w:val="center"/>
          </w:tcPr>
          <w:p>
            <w:pPr>
              <w:pStyle w:val="TableContents"/>
              <w:bidi w:val="0"/>
              <w:spacing w:before="0" w:after="283"/>
              <w:jc w:val="left"/>
              <w:rPr>
                <w:sz w:val="20"/>
              </w:rPr>
            </w:pPr>
            <w:r>
              <w:rPr>
                <w:sz w:val="20"/>
              </w:rPr>
              <w:t>*</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Title:</w:t>
            </w:r>
          </w:p>
        </w:tc>
        <w:tc>
          <w:tcPr>
            <w:tcW w:w="390" w:type="dxa"/>
            <w:tcBorders/>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AMENDMENT TO AMENDED AND RESTATED CREDIT AGREEMENT</w:t>
      </w:r>
    </w:p>
    <w:p>
      <w:pPr>
        <w:pStyle w:val="TextBody"/>
        <w:bidi w:val="0"/>
        <w:spacing w:before="0" w:after="0"/>
        <w:ind w:left="0" w:right="0" w:hanging="0"/>
        <w:jc w:val="center"/>
        <w:rPr>
          <w:caps w:val="false"/>
          <w:smallCaps w:val="false"/>
        </w:rPr>
      </w:pPr>
      <w:r>
        <w:rPr>
          <w:caps w:val="false"/>
          <w:smallCaps w:val="false"/>
        </w:rPr>
        <w:t> </w:t>
      </w:r>
    </w:p>
    <w:tbl>
      <w:tblPr>
        <w:tblW w:w="1854" w:type="dxa"/>
        <w:jc w:val="left"/>
        <w:tblInd w:w="0" w:type="dxa"/>
        <w:tblLayout w:type="fixed"/>
        <w:tblCellMar>
          <w:top w:w="0" w:type="dxa"/>
          <w:left w:w="0" w:type="dxa"/>
          <w:bottom w:w="0" w:type="dxa"/>
          <w:right w:w="0" w:type="dxa"/>
        </w:tblCellMar>
      </w:tblPr>
      <w:tblGrid>
        <w:gridCol w:w="905"/>
        <w:gridCol w:w="559"/>
        <w:gridCol w:w="390"/>
      </w:tblGrid>
      <w:tr>
        <w:trPr/>
        <w:tc>
          <w:tcPr>
            <w:tcW w:w="905" w:type="dxa"/>
            <w:tcBorders/>
            <w:vAlign w:val="center"/>
          </w:tcPr>
          <w:p>
            <w:pPr>
              <w:pStyle w:val="TableContents"/>
              <w:bidi w:val="0"/>
              <w:spacing w:before="0" w:after="283"/>
              <w:jc w:val="left"/>
              <w:rPr>
                <w:b/>
                <w:sz w:val="20"/>
              </w:rPr>
            </w:pPr>
            <w:r>
              <w:rPr>
                <w:b/>
                <w:sz w:val="20"/>
                <w:u w:val="single"/>
              </w:rPr>
              <w:t>LENDER</w:t>
            </w:r>
            <w:r>
              <w:rPr>
                <w:b/>
                <w:sz w:val="20"/>
              </w:rPr>
              <w:t>:</w:t>
            </w:r>
          </w:p>
        </w:tc>
        <w:tc>
          <w:tcPr>
            <w:tcW w:w="559" w:type="dxa"/>
            <w:tcBorders/>
            <w:vAlign w:val="center"/>
          </w:tcPr>
          <w:p>
            <w:pPr>
              <w:pStyle w:val="TableContents"/>
              <w:bidi w:val="0"/>
              <w:spacing w:before="0" w:after="283"/>
              <w:jc w:val="left"/>
              <w:rPr>
                <w:sz w:val="20"/>
              </w:rPr>
            </w:pPr>
            <w:r>
              <w:rPr>
                <w:b/>
                <w:sz w:val="20"/>
              </w:rPr>
              <w:t>*</w:t>
            </w:r>
            <w:r>
              <w:rPr>
                <w:sz w:val="20"/>
              </w:rPr>
              <w:t>,</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sz w:val="20"/>
              </w:rPr>
            </w:pPr>
            <w:r>
              <w:rPr>
                <w:sz w:val="20"/>
              </w:rPr>
              <w:t>as a Lender</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By:</w:t>
            </w:r>
          </w:p>
        </w:tc>
        <w:tc>
          <w:tcPr>
            <w:tcW w:w="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Name:</w:t>
            </w:r>
          </w:p>
        </w:tc>
        <w:tc>
          <w:tcPr>
            <w:tcW w:w="390" w:type="dxa"/>
            <w:tcBorders/>
            <w:vAlign w:val="center"/>
          </w:tcPr>
          <w:p>
            <w:pPr>
              <w:pStyle w:val="TableContents"/>
              <w:bidi w:val="0"/>
              <w:spacing w:before="0" w:after="283"/>
              <w:jc w:val="left"/>
              <w:rPr>
                <w:sz w:val="20"/>
              </w:rPr>
            </w:pPr>
            <w:r>
              <w:rPr>
                <w:sz w:val="20"/>
              </w:rPr>
              <w:t>*</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Title:</w:t>
            </w:r>
          </w:p>
        </w:tc>
        <w:tc>
          <w:tcPr>
            <w:tcW w:w="390" w:type="dxa"/>
            <w:tcBorders/>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854" w:type="dxa"/>
        <w:jc w:val="left"/>
        <w:tblInd w:w="0" w:type="dxa"/>
        <w:tblLayout w:type="fixed"/>
        <w:tblCellMar>
          <w:top w:w="0" w:type="dxa"/>
          <w:left w:w="0" w:type="dxa"/>
          <w:bottom w:w="0" w:type="dxa"/>
          <w:right w:w="0" w:type="dxa"/>
        </w:tblCellMar>
      </w:tblPr>
      <w:tblGrid>
        <w:gridCol w:w="905"/>
        <w:gridCol w:w="559"/>
        <w:gridCol w:w="390"/>
      </w:tblGrid>
      <w:tr>
        <w:trPr/>
        <w:tc>
          <w:tcPr>
            <w:tcW w:w="905" w:type="dxa"/>
            <w:tcBorders/>
            <w:vAlign w:val="center"/>
          </w:tcPr>
          <w:p>
            <w:pPr>
              <w:pStyle w:val="TableContents"/>
              <w:bidi w:val="0"/>
              <w:spacing w:before="0" w:after="283"/>
              <w:jc w:val="left"/>
              <w:rPr>
                <w:b/>
                <w:sz w:val="20"/>
              </w:rPr>
            </w:pPr>
            <w:r>
              <w:rPr>
                <w:b/>
                <w:sz w:val="20"/>
                <w:u w:val="single"/>
              </w:rPr>
              <w:t>LENDER</w:t>
            </w:r>
            <w:r>
              <w:rPr>
                <w:b/>
                <w:sz w:val="20"/>
              </w:rPr>
              <w:t>:</w:t>
            </w:r>
          </w:p>
        </w:tc>
        <w:tc>
          <w:tcPr>
            <w:tcW w:w="559" w:type="dxa"/>
            <w:tcBorders/>
            <w:vAlign w:val="center"/>
          </w:tcPr>
          <w:p>
            <w:pPr>
              <w:pStyle w:val="TableContents"/>
              <w:bidi w:val="0"/>
              <w:spacing w:before="0" w:after="283"/>
              <w:jc w:val="left"/>
              <w:rPr>
                <w:sz w:val="20"/>
              </w:rPr>
            </w:pPr>
            <w:r>
              <w:rPr>
                <w:b/>
                <w:sz w:val="20"/>
              </w:rPr>
              <w:t>*</w:t>
            </w:r>
            <w:r>
              <w:rPr>
                <w:sz w:val="20"/>
              </w:rPr>
              <w:t>,</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sz w:val="20"/>
              </w:rPr>
            </w:pPr>
            <w:r>
              <w:rPr>
                <w:sz w:val="20"/>
              </w:rPr>
              <w:t>as a Lender</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By:</w:t>
            </w:r>
          </w:p>
        </w:tc>
        <w:tc>
          <w:tcPr>
            <w:tcW w:w="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Name:</w:t>
            </w:r>
          </w:p>
        </w:tc>
        <w:tc>
          <w:tcPr>
            <w:tcW w:w="390" w:type="dxa"/>
            <w:tcBorders/>
            <w:vAlign w:val="center"/>
          </w:tcPr>
          <w:p>
            <w:pPr>
              <w:pStyle w:val="TableContents"/>
              <w:bidi w:val="0"/>
              <w:spacing w:before="0" w:after="283"/>
              <w:jc w:val="left"/>
              <w:rPr>
                <w:sz w:val="20"/>
              </w:rPr>
            </w:pPr>
            <w:r>
              <w:rPr>
                <w:sz w:val="20"/>
              </w:rPr>
              <w:t>*</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Title:</w:t>
            </w:r>
          </w:p>
        </w:tc>
        <w:tc>
          <w:tcPr>
            <w:tcW w:w="390" w:type="dxa"/>
            <w:tcBorders/>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854" w:type="dxa"/>
        <w:jc w:val="left"/>
        <w:tblInd w:w="0" w:type="dxa"/>
        <w:tblLayout w:type="fixed"/>
        <w:tblCellMar>
          <w:top w:w="0" w:type="dxa"/>
          <w:left w:w="0" w:type="dxa"/>
          <w:bottom w:w="0" w:type="dxa"/>
          <w:right w:w="0" w:type="dxa"/>
        </w:tblCellMar>
      </w:tblPr>
      <w:tblGrid>
        <w:gridCol w:w="905"/>
        <w:gridCol w:w="559"/>
        <w:gridCol w:w="390"/>
      </w:tblGrid>
      <w:tr>
        <w:trPr/>
        <w:tc>
          <w:tcPr>
            <w:tcW w:w="905" w:type="dxa"/>
            <w:tcBorders/>
            <w:vAlign w:val="center"/>
          </w:tcPr>
          <w:p>
            <w:pPr>
              <w:pStyle w:val="TableContents"/>
              <w:bidi w:val="0"/>
              <w:spacing w:before="0" w:after="283"/>
              <w:jc w:val="left"/>
              <w:rPr>
                <w:b/>
                <w:sz w:val="20"/>
              </w:rPr>
            </w:pPr>
            <w:r>
              <w:rPr>
                <w:b/>
                <w:sz w:val="20"/>
                <w:u w:val="single"/>
              </w:rPr>
              <w:t>LENDER</w:t>
            </w:r>
            <w:r>
              <w:rPr>
                <w:b/>
                <w:sz w:val="20"/>
              </w:rPr>
              <w:t>:</w:t>
            </w:r>
          </w:p>
        </w:tc>
        <w:tc>
          <w:tcPr>
            <w:tcW w:w="559" w:type="dxa"/>
            <w:tcBorders/>
            <w:vAlign w:val="center"/>
          </w:tcPr>
          <w:p>
            <w:pPr>
              <w:pStyle w:val="TableContents"/>
              <w:bidi w:val="0"/>
              <w:spacing w:before="0" w:after="283"/>
              <w:jc w:val="left"/>
              <w:rPr>
                <w:sz w:val="20"/>
              </w:rPr>
            </w:pPr>
            <w:r>
              <w:rPr>
                <w:b/>
                <w:sz w:val="20"/>
              </w:rPr>
              <w:t>*</w:t>
            </w:r>
            <w:r>
              <w:rPr>
                <w:sz w:val="20"/>
              </w:rPr>
              <w:t>,</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sz w:val="20"/>
              </w:rPr>
            </w:pPr>
            <w:r>
              <w:rPr>
                <w:sz w:val="20"/>
              </w:rPr>
              <w:t>as a Lender</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By:</w:t>
            </w:r>
          </w:p>
        </w:tc>
        <w:tc>
          <w:tcPr>
            <w:tcW w:w="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Name:</w:t>
            </w:r>
          </w:p>
        </w:tc>
        <w:tc>
          <w:tcPr>
            <w:tcW w:w="390" w:type="dxa"/>
            <w:tcBorders/>
            <w:vAlign w:val="center"/>
          </w:tcPr>
          <w:p>
            <w:pPr>
              <w:pStyle w:val="TableContents"/>
              <w:bidi w:val="0"/>
              <w:spacing w:before="0" w:after="283"/>
              <w:jc w:val="left"/>
              <w:rPr>
                <w:sz w:val="20"/>
              </w:rPr>
            </w:pPr>
            <w:r>
              <w:rPr>
                <w:sz w:val="20"/>
              </w:rPr>
              <w:t>*</w:t>
            </w:r>
          </w:p>
        </w:tc>
      </w:tr>
      <w:tr>
        <w:trPr/>
        <w:tc>
          <w:tcPr>
            <w:tcW w:w="90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sz w:val="20"/>
              </w:rPr>
            </w:pPr>
            <w:r>
              <w:rPr>
                <w:sz w:val="20"/>
              </w:rPr>
              <w:t>Title:</w:t>
            </w:r>
          </w:p>
        </w:tc>
        <w:tc>
          <w:tcPr>
            <w:tcW w:w="39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Lenders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6"/>
        <w:gridCol w:w="5194"/>
        <w:gridCol w:w="4025"/>
      </w:tblGrid>
      <w:tr>
        <w:trPr/>
        <w:tc>
          <w:tcPr>
            <w:tcW w:w="986" w:type="dxa"/>
            <w:tcBorders/>
            <w:vAlign w:val="center"/>
          </w:tcPr>
          <w:p>
            <w:pPr>
              <w:pStyle w:val="TableContents"/>
              <w:bidi w:val="0"/>
              <w:spacing w:before="0" w:after="283"/>
              <w:jc w:val="left"/>
              <w:rPr>
                <w:sz w:val="4"/>
                <w:szCs w:val="4"/>
              </w:rPr>
            </w:pPr>
            <w:r>
              <w:rPr>
                <w:sz w:val="4"/>
                <w:szCs w:val="4"/>
              </w:rPr>
            </w:r>
          </w:p>
        </w:tc>
        <w:tc>
          <w:tcPr>
            <w:tcW w:w="5194" w:type="dxa"/>
            <w:tcBorders/>
            <w:vAlign w:val="center"/>
          </w:tcPr>
          <w:p>
            <w:pPr>
              <w:pStyle w:val="TableContents"/>
              <w:bidi w:val="0"/>
              <w:spacing w:before="0" w:after="283"/>
              <w:jc w:val="left"/>
              <w:rPr/>
            </w:pPr>
            <w:r>
              <w:rPr/>
              <w:t>1.</w:t>
            </w:r>
          </w:p>
        </w:tc>
        <w:tc>
          <w:tcPr>
            <w:tcW w:w="402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6"/>
        <w:gridCol w:w="5194"/>
        <w:gridCol w:w="4025"/>
      </w:tblGrid>
      <w:tr>
        <w:trPr/>
        <w:tc>
          <w:tcPr>
            <w:tcW w:w="986" w:type="dxa"/>
            <w:tcBorders/>
            <w:vAlign w:val="center"/>
          </w:tcPr>
          <w:p>
            <w:pPr>
              <w:pStyle w:val="TableContents"/>
              <w:bidi w:val="0"/>
              <w:spacing w:before="0" w:after="283"/>
              <w:jc w:val="left"/>
              <w:rPr>
                <w:sz w:val="4"/>
                <w:szCs w:val="4"/>
              </w:rPr>
            </w:pPr>
            <w:r>
              <w:rPr>
                <w:sz w:val="4"/>
                <w:szCs w:val="4"/>
              </w:rPr>
            </w:r>
          </w:p>
        </w:tc>
        <w:tc>
          <w:tcPr>
            <w:tcW w:w="5194" w:type="dxa"/>
            <w:tcBorders/>
            <w:vAlign w:val="center"/>
          </w:tcPr>
          <w:p>
            <w:pPr>
              <w:pStyle w:val="TableContents"/>
              <w:bidi w:val="0"/>
              <w:spacing w:before="0" w:after="283"/>
              <w:jc w:val="left"/>
              <w:rPr/>
            </w:pPr>
            <w:r>
              <w:rPr/>
              <w:t>2.</w:t>
            </w:r>
          </w:p>
        </w:tc>
        <w:tc>
          <w:tcPr>
            <w:tcW w:w="402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Conformed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color w:val="FF0000"/>
          <w:sz w:val="20"/>
        </w:rPr>
      </w:pPr>
      <w:r>
        <w:rPr>
          <w:rFonts w:ascii="Times New Roman;Times;Serif" w:hAnsi="Times New Roman;Times;Serif"/>
          <w:b/>
          <w:i/>
          <w:caps w:val="false"/>
          <w:smallCaps w:val="false"/>
          <w:strike/>
          <w:color w:val="FF0000"/>
          <w:sz w:val="20"/>
          <w:u w:val="single"/>
        </w:rPr>
        <w:t>Published CUSIP Numbers</w:t>
      </w:r>
      <w:r>
        <w:rPr>
          <w:rFonts w:ascii="Times New Roman;Times;Serif" w:hAnsi="Times New Roman;Times;Serif"/>
          <w:b/>
          <w:i/>
          <w:caps w:val="false"/>
          <w:smallCaps w:val="false"/>
          <w:strike/>
          <w:color w:val="FF0000"/>
          <w:sz w:val="20"/>
        </w:rPr>
        <w:t>: 31943HAA5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trike/>
          <w:color w:val="FF0000"/>
          <w:sz w:val="20"/>
        </w:rPr>
        <w:t>31943HAB3</w:t>
      </w:r>
      <w:r>
        <w:rPr>
          <w:rFonts w:ascii="Times New Roman;Times;Serif" w:hAnsi="Times New Roman;Times;Serif"/>
          <w:b/>
          <w:i/>
          <w:caps w:val="false"/>
          <w:smallCaps w:val="false"/>
          <w:color w:val="0000FF"/>
          <w:sz w:val="20"/>
          <w:u w:val="single"/>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Published CUSIP Numbers: 31943HAA5</w:t>
      </w:r>
    </w:p>
    <w:p>
      <w:pPr>
        <w:pStyle w:val="TextBody"/>
        <w:bidi w:val="0"/>
        <w:spacing w:before="0" w:after="0"/>
        <w:ind w:left="0" w:right="0" w:hanging="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31943HAB3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COMPOSITE COPY</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Incorporating</w:t>
      </w:r>
      <w:r>
        <w:rPr>
          <w:rFonts w:ascii="Times New Roman;Times;Serif" w:hAnsi="Times New Roman;Times;Serif"/>
          <w:b/>
          <w:i w:val="false"/>
          <w:caps w:val="false"/>
          <w:smallCaps w:val="false"/>
          <w:sz w:val="20"/>
        </w:rPr>
        <w: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dated as of May 30, 2017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dated as of October 4, 2018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dated as of December 19, 2019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dated as of November 9, 2020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Amendment, dated as of December 8, 2021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Amendment, dated as of August 30, 2022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Seventh Amendment, dated as of October 18, 2023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Eighth Amendment, dated as of August 8,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Amendment, dated as of May 12, 2025</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Tenth Amendment, dated as of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$1,055,000,000.00</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$590,000,000.00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FIRSTCASH, INC. </w:t>
      </w:r>
      <w:r>
        <w:rPr>
          <w:rFonts w:ascii="Times New Roman;Times;Serif" w:hAnsi="Times New Roman;Times;Serif"/>
          <w:b w:val="false"/>
          <w:i w:val="false"/>
          <w:caps w:val="false"/>
          <w:smallCaps w:val="false"/>
          <w:strike/>
          <w:color w:val="FF0000"/>
          <w:sz w:val="20"/>
        </w:rPr>
        <w:t>(f/k/a FIRST CASH FINANCIAL SERVICES, INC.)</w:t>
      </w:r>
      <w:r>
        <w:rPr>
          <w:rFonts w:ascii="Times New Roman;Times;Serif" w:hAnsi="Times New Roman;Times;Serif"/>
          <w:b w:val="false"/>
          <w:i w:val="false"/>
          <w:caps w:val="false"/>
          <w:smallCaps w:val="false"/>
          <w:sz w:val="20"/>
        </w:rPr>
        <w:t>,</w:t>
        <w:br/>
        <w:t xml:space="preserve">as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and Borrower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CHESS HOLDCO LIMITED and</w:t>
        <w:br/>
        <w:t>CHESS BIDCO LIMITED,</w:t>
        <w:br/>
        <w:t>as UK Borrowers,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HOLDINGS AND CERTAIN SUBSIDIARIES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w:t>
        <w:br/>
        <w:t>FROM TIME TO TIME PARTY HERETO,</w:t>
        <w:br/>
        <w:t>as Loan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br/>
        <w:t>as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25, 2016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 *, *, AND *</w:t>
        <w:br/>
        <w:t>as Joint Lead Arrangers and Joint Bookrunners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239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3950"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975" w:type="dxa"/>
        <w:jc w:val="left"/>
        <w:tblInd w:w="0" w:type="dxa"/>
        <w:tblLayout w:type="fixed"/>
        <w:tblCellMar>
          <w:top w:w="28" w:type="dxa"/>
          <w:left w:w="0" w:type="dxa"/>
          <w:bottom w:w="0" w:type="dxa"/>
          <w:right w:w="0" w:type="dxa"/>
        </w:tblCellMar>
      </w:tblPr>
      <w:tblGrid>
        <w:gridCol w:w="1055"/>
        <w:gridCol w:w="1920"/>
      </w:tblGrid>
      <w:tr>
        <w:trPr/>
        <w:tc>
          <w:tcPr>
            <w:tcW w:w="1055" w:type="dxa"/>
            <w:tcBorders>
              <w:top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Prepared by:</w:t>
            </w:r>
          </w:p>
        </w:tc>
        <w:tc>
          <w:tcPr>
            <w:tcW w:w="1920" w:type="dxa"/>
            <w:tcBorders>
              <w:top w:val="single" w:sz="8" w:space="0" w:color="000000"/>
            </w:tcBorders>
            <w:vAlign w:val="center"/>
          </w:tcPr>
          <w:p>
            <w:pPr>
              <w:pStyle w:val="TableContents"/>
              <w:bidi w:val="0"/>
              <w:spacing w:before="0" w:after="283"/>
              <w:jc w:val="right"/>
              <w:rPr/>
            </w:pPr>
            <w:r>
              <w:rPr/>
              <w:drawing>
                <wp:inline distT="0" distB="0" distL="0" distR="0">
                  <wp:extent cx="120967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9675" cy="45720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235"/>
        <w:gridCol w:w="515"/>
      </w:tblGrid>
      <w:tr>
        <w:trPr/>
        <w:tc>
          <w:tcPr>
            <w:tcW w:w="455"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u w:val="single"/>
              </w:rPr>
            </w:pPr>
            <w:r>
              <w:rPr>
                <w:sz w:val="20"/>
                <w:u w:val="single"/>
              </w:rPr>
              <w:t>Page</w:t>
            </w:r>
          </w:p>
        </w:tc>
      </w:tr>
      <w:tr>
        <w:trPr/>
        <w:tc>
          <w:tcPr>
            <w:tcW w:w="455"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690" w:type="dxa"/>
            <w:gridSpan w:val="2"/>
            <w:tcBorders/>
            <w:vAlign w:val="center"/>
          </w:tcPr>
          <w:p>
            <w:pPr>
              <w:pStyle w:val="TableContents"/>
              <w:bidi w:val="0"/>
              <w:spacing w:before="0" w:after="283"/>
              <w:jc w:val="left"/>
              <w:rPr>
                <w:b/>
                <w:caps/>
                <w:sz w:val="20"/>
              </w:rPr>
            </w:pPr>
            <w:r>
              <w:rPr>
                <w:b/>
                <w:caps/>
                <w:sz w:val="20"/>
              </w:rPr>
              <w:t>Article I. DEFINITIONS</w:t>
            </w:r>
          </w:p>
        </w:tc>
        <w:tc>
          <w:tcPr>
            <w:tcW w:w="515" w:type="dxa"/>
            <w:tcBorders/>
            <w:vAlign w:val="center"/>
          </w:tcPr>
          <w:p>
            <w:pPr>
              <w:pStyle w:val="TableContents"/>
              <w:bidi w:val="0"/>
              <w:spacing w:before="0" w:after="283"/>
              <w:jc w:val="right"/>
              <w:rPr>
                <w:b/>
                <w:caps/>
                <w:sz w:val="20"/>
              </w:rPr>
            </w:pPr>
            <w:r>
              <w:rPr>
                <w:b/>
                <w:caps/>
                <w:sz w:val="20"/>
              </w:rPr>
              <w:t>1</w:t>
            </w:r>
          </w:p>
        </w:tc>
      </w:tr>
      <w:tr>
        <w:trPr/>
        <w:tc>
          <w:tcPr>
            <w:tcW w:w="455" w:type="dxa"/>
            <w:tcBorders/>
            <w:vAlign w:val="center"/>
          </w:tcPr>
          <w:p>
            <w:pPr>
              <w:pStyle w:val="TableContents"/>
              <w:bidi w:val="0"/>
              <w:spacing w:before="0" w:after="283"/>
              <w:jc w:val="left"/>
              <w:rPr>
                <w:sz w:val="20"/>
              </w:rPr>
            </w:pPr>
            <w:r>
              <w:rPr>
                <w:sz w:val="20"/>
              </w:rPr>
              <w:t>1.1</w:t>
            </w:r>
          </w:p>
        </w:tc>
        <w:tc>
          <w:tcPr>
            <w:tcW w:w="9235" w:type="dxa"/>
            <w:tcBorders/>
            <w:vAlign w:val="center"/>
          </w:tcPr>
          <w:p>
            <w:pPr>
              <w:pStyle w:val="TableContents"/>
              <w:bidi w:val="0"/>
              <w:spacing w:before="0" w:after="283"/>
              <w:jc w:val="left"/>
              <w:rPr>
                <w:sz w:val="20"/>
              </w:rPr>
            </w:pPr>
            <w:r>
              <w:rPr>
                <w:sz w:val="20"/>
              </w:rPr>
              <w:t>Defined Terms</w:t>
            </w:r>
          </w:p>
        </w:tc>
        <w:tc>
          <w:tcPr>
            <w:tcW w:w="515" w:type="dxa"/>
            <w:tcBorders/>
            <w:vAlign w:val="center"/>
          </w:tcPr>
          <w:p>
            <w:pPr>
              <w:pStyle w:val="TableContents"/>
              <w:bidi w:val="0"/>
              <w:spacing w:before="0" w:after="283"/>
              <w:jc w:val="right"/>
              <w:rPr>
                <w:sz w:val="20"/>
              </w:rPr>
            </w:pPr>
            <w:r>
              <w:rPr>
                <w:sz w:val="20"/>
              </w:rPr>
              <w:t>1</w:t>
            </w:r>
          </w:p>
        </w:tc>
      </w:tr>
      <w:tr>
        <w:trPr/>
        <w:tc>
          <w:tcPr>
            <w:tcW w:w="455" w:type="dxa"/>
            <w:tcBorders/>
            <w:vAlign w:val="center"/>
          </w:tcPr>
          <w:p>
            <w:pPr>
              <w:pStyle w:val="TableContents"/>
              <w:bidi w:val="0"/>
              <w:spacing w:before="0" w:after="283"/>
              <w:jc w:val="left"/>
              <w:rPr>
                <w:sz w:val="20"/>
              </w:rPr>
            </w:pPr>
            <w:r>
              <w:rPr>
                <w:sz w:val="20"/>
              </w:rPr>
              <w:t>1.2</w:t>
            </w:r>
          </w:p>
        </w:tc>
        <w:tc>
          <w:tcPr>
            <w:tcW w:w="9235" w:type="dxa"/>
            <w:tcBorders/>
            <w:vAlign w:val="center"/>
          </w:tcPr>
          <w:p>
            <w:pPr>
              <w:pStyle w:val="TableContents"/>
              <w:bidi w:val="0"/>
              <w:spacing w:before="0" w:after="283"/>
              <w:jc w:val="left"/>
              <w:rPr>
                <w:sz w:val="20"/>
              </w:rPr>
            </w:pPr>
            <w:r>
              <w:rPr>
                <w:sz w:val="20"/>
              </w:rPr>
              <w:t>Other Interpretive Provisions</w:t>
            </w:r>
          </w:p>
        </w:tc>
        <w:tc>
          <w:tcPr>
            <w:tcW w:w="515" w:type="dxa"/>
            <w:tcBorders/>
            <w:vAlign w:val="center"/>
          </w:tcPr>
          <w:p>
            <w:pPr>
              <w:pStyle w:val="TableContents"/>
              <w:bidi w:val="0"/>
              <w:spacing w:before="0" w:after="283"/>
              <w:jc w:val="right"/>
              <w:rPr/>
            </w:pPr>
            <w:r>
              <w:rPr>
                <w:strike/>
                <w:color w:val="FF0000"/>
              </w:rPr>
              <w:t>29</w:t>
            </w:r>
            <w:r>
              <w:rPr>
                <w:color w:val="0000FF"/>
                <w:u w:val="single"/>
              </w:rPr>
              <w:t>36</w:t>
            </w:r>
          </w:p>
        </w:tc>
      </w:tr>
      <w:tr>
        <w:trPr/>
        <w:tc>
          <w:tcPr>
            <w:tcW w:w="455" w:type="dxa"/>
            <w:tcBorders/>
            <w:vAlign w:val="center"/>
          </w:tcPr>
          <w:p>
            <w:pPr>
              <w:pStyle w:val="TableContents"/>
              <w:bidi w:val="0"/>
              <w:spacing w:before="0" w:after="283"/>
              <w:jc w:val="left"/>
              <w:rPr>
                <w:sz w:val="20"/>
              </w:rPr>
            </w:pPr>
            <w:r>
              <w:rPr>
                <w:sz w:val="20"/>
              </w:rPr>
              <w:t>1.3</w:t>
            </w:r>
          </w:p>
        </w:tc>
        <w:tc>
          <w:tcPr>
            <w:tcW w:w="9235" w:type="dxa"/>
            <w:tcBorders/>
            <w:vAlign w:val="center"/>
          </w:tcPr>
          <w:p>
            <w:pPr>
              <w:pStyle w:val="TableContents"/>
              <w:bidi w:val="0"/>
              <w:spacing w:before="0" w:after="283"/>
              <w:jc w:val="left"/>
              <w:rPr>
                <w:sz w:val="20"/>
              </w:rPr>
            </w:pPr>
            <w:r>
              <w:rPr>
                <w:sz w:val="20"/>
              </w:rPr>
              <w:t>Accounting Terms</w:t>
            </w:r>
          </w:p>
        </w:tc>
        <w:tc>
          <w:tcPr>
            <w:tcW w:w="515" w:type="dxa"/>
            <w:tcBorders/>
            <w:vAlign w:val="center"/>
          </w:tcPr>
          <w:p>
            <w:pPr>
              <w:pStyle w:val="TableContents"/>
              <w:bidi w:val="0"/>
              <w:spacing w:before="0" w:after="283"/>
              <w:jc w:val="right"/>
              <w:rPr/>
            </w:pPr>
            <w:r>
              <w:rPr>
                <w:strike/>
                <w:color w:val="FF0000"/>
              </w:rPr>
              <w:t>29</w:t>
            </w:r>
            <w:r>
              <w:rPr>
                <w:color w:val="0000FF"/>
                <w:u w:val="single"/>
              </w:rPr>
              <w:t>37</w:t>
            </w:r>
          </w:p>
        </w:tc>
      </w:tr>
      <w:tr>
        <w:trPr/>
        <w:tc>
          <w:tcPr>
            <w:tcW w:w="455" w:type="dxa"/>
            <w:tcBorders/>
            <w:vAlign w:val="center"/>
          </w:tcPr>
          <w:p>
            <w:pPr>
              <w:pStyle w:val="TableContents"/>
              <w:bidi w:val="0"/>
              <w:spacing w:before="0" w:after="283"/>
              <w:jc w:val="left"/>
              <w:rPr>
                <w:sz w:val="20"/>
              </w:rPr>
            </w:pPr>
            <w:r>
              <w:rPr>
                <w:sz w:val="20"/>
              </w:rPr>
              <w:t>1.4</w:t>
            </w:r>
          </w:p>
        </w:tc>
        <w:tc>
          <w:tcPr>
            <w:tcW w:w="9235" w:type="dxa"/>
            <w:tcBorders/>
            <w:vAlign w:val="center"/>
          </w:tcPr>
          <w:p>
            <w:pPr>
              <w:pStyle w:val="TableContents"/>
              <w:bidi w:val="0"/>
              <w:spacing w:before="0" w:after="283"/>
              <w:jc w:val="left"/>
              <w:rPr>
                <w:sz w:val="20"/>
              </w:rPr>
            </w:pPr>
            <w:r>
              <w:rPr>
                <w:sz w:val="20"/>
              </w:rPr>
              <w:t>Rounding</w:t>
            </w:r>
          </w:p>
        </w:tc>
        <w:tc>
          <w:tcPr>
            <w:tcW w:w="515" w:type="dxa"/>
            <w:tcBorders/>
            <w:vAlign w:val="center"/>
          </w:tcPr>
          <w:p>
            <w:pPr>
              <w:pStyle w:val="TableContents"/>
              <w:bidi w:val="0"/>
              <w:spacing w:before="0" w:after="283"/>
              <w:jc w:val="right"/>
              <w:rPr/>
            </w:pPr>
            <w:r>
              <w:rPr>
                <w:strike/>
                <w:color w:val="FF0000"/>
              </w:rPr>
              <w:t>30</w:t>
            </w:r>
            <w:r>
              <w:rPr>
                <w:color w:val="0000FF"/>
                <w:u w:val="single"/>
              </w:rPr>
              <w:t>37</w:t>
            </w:r>
          </w:p>
        </w:tc>
      </w:tr>
      <w:tr>
        <w:trPr/>
        <w:tc>
          <w:tcPr>
            <w:tcW w:w="455" w:type="dxa"/>
            <w:tcBorders/>
            <w:vAlign w:val="center"/>
          </w:tcPr>
          <w:p>
            <w:pPr>
              <w:pStyle w:val="TableContents"/>
              <w:bidi w:val="0"/>
              <w:spacing w:before="0" w:after="283"/>
              <w:jc w:val="left"/>
              <w:rPr>
                <w:sz w:val="20"/>
              </w:rPr>
            </w:pPr>
            <w:r>
              <w:rPr>
                <w:sz w:val="20"/>
              </w:rPr>
              <w:t>1.5</w:t>
            </w:r>
          </w:p>
        </w:tc>
        <w:tc>
          <w:tcPr>
            <w:tcW w:w="9235" w:type="dxa"/>
            <w:tcBorders/>
            <w:vAlign w:val="center"/>
          </w:tcPr>
          <w:p>
            <w:pPr>
              <w:pStyle w:val="TableContents"/>
              <w:bidi w:val="0"/>
              <w:spacing w:before="0" w:after="283"/>
              <w:jc w:val="left"/>
              <w:rPr>
                <w:sz w:val="20"/>
              </w:rPr>
            </w:pPr>
            <w:r>
              <w:rPr>
                <w:sz w:val="20"/>
              </w:rPr>
              <w:t>References to Agreements and Laws</w:t>
            </w:r>
          </w:p>
        </w:tc>
        <w:tc>
          <w:tcPr>
            <w:tcW w:w="515" w:type="dxa"/>
            <w:tcBorders/>
            <w:vAlign w:val="center"/>
          </w:tcPr>
          <w:p>
            <w:pPr>
              <w:pStyle w:val="TableContents"/>
              <w:bidi w:val="0"/>
              <w:spacing w:before="0" w:after="283"/>
              <w:jc w:val="right"/>
              <w:rPr/>
            </w:pPr>
            <w:r>
              <w:rPr>
                <w:strike/>
                <w:color w:val="FF0000"/>
              </w:rPr>
              <w:t>30</w:t>
            </w:r>
            <w:r>
              <w:rPr>
                <w:color w:val="0000FF"/>
                <w:u w:val="single"/>
              </w:rPr>
              <w:t>37</w:t>
            </w:r>
          </w:p>
        </w:tc>
      </w:tr>
      <w:tr>
        <w:trPr/>
        <w:tc>
          <w:tcPr>
            <w:tcW w:w="455" w:type="dxa"/>
            <w:tcBorders/>
            <w:vAlign w:val="center"/>
          </w:tcPr>
          <w:p>
            <w:pPr>
              <w:pStyle w:val="TableContents"/>
              <w:bidi w:val="0"/>
              <w:spacing w:before="0" w:after="283"/>
              <w:jc w:val="left"/>
              <w:rPr>
                <w:sz w:val="20"/>
              </w:rPr>
            </w:pPr>
            <w:r>
              <w:rPr>
                <w:sz w:val="20"/>
              </w:rPr>
              <w:t>1.6</w:t>
            </w:r>
          </w:p>
        </w:tc>
        <w:tc>
          <w:tcPr>
            <w:tcW w:w="9235" w:type="dxa"/>
            <w:tcBorders/>
            <w:vAlign w:val="center"/>
          </w:tcPr>
          <w:p>
            <w:pPr>
              <w:pStyle w:val="TableContents"/>
              <w:bidi w:val="0"/>
              <w:spacing w:before="0" w:after="283"/>
              <w:jc w:val="left"/>
              <w:rPr/>
            </w:pPr>
            <w:r>
              <w:rPr>
                <w:sz w:val="20"/>
              </w:rPr>
              <w:t xml:space="preserve">Foreign Currency </w:t>
            </w:r>
            <w:r>
              <w:rPr>
                <w:strike/>
                <w:color w:val="FF0000"/>
              </w:rPr>
              <w:t>Denomination</w:t>
            </w:r>
            <w:r>
              <w:rPr>
                <w:color w:val="0000FF"/>
                <w:u w:val="single"/>
              </w:rPr>
              <w:t>Denominations; Exchange Rates; Currency Equivalents; Alternative Currency RFR.</w:t>
            </w:r>
          </w:p>
        </w:tc>
        <w:tc>
          <w:tcPr>
            <w:tcW w:w="515" w:type="dxa"/>
            <w:tcBorders/>
            <w:vAlign w:val="center"/>
          </w:tcPr>
          <w:p>
            <w:pPr>
              <w:pStyle w:val="TableContents"/>
              <w:bidi w:val="0"/>
              <w:spacing w:before="0" w:after="283"/>
              <w:jc w:val="right"/>
              <w:rPr/>
            </w:pPr>
            <w:r>
              <w:rPr>
                <w:strike/>
                <w:color w:val="FF0000"/>
                <w:sz w:val="20"/>
              </w:rPr>
              <w:t>30</w:t>
            </w:r>
            <w:r>
              <w:rPr>
                <w:color w:val="0000FF"/>
                <w:u w:val="single"/>
              </w:rPr>
              <w:t>38</w:t>
            </w:r>
          </w:p>
        </w:tc>
      </w:tr>
      <w:tr>
        <w:trPr/>
        <w:tc>
          <w:tcPr>
            <w:tcW w:w="455" w:type="dxa"/>
            <w:tcBorders/>
            <w:vAlign w:val="center"/>
          </w:tcPr>
          <w:p>
            <w:pPr>
              <w:pStyle w:val="TableContents"/>
              <w:bidi w:val="0"/>
              <w:spacing w:before="0" w:after="283"/>
              <w:jc w:val="left"/>
              <w:rPr>
                <w:sz w:val="20"/>
              </w:rPr>
            </w:pPr>
            <w:r>
              <w:rPr>
                <w:sz w:val="20"/>
              </w:rPr>
              <w:t>1.7</w:t>
            </w:r>
          </w:p>
        </w:tc>
        <w:tc>
          <w:tcPr>
            <w:tcW w:w="9235" w:type="dxa"/>
            <w:tcBorders/>
            <w:vAlign w:val="center"/>
          </w:tcPr>
          <w:p>
            <w:pPr>
              <w:pStyle w:val="TableContents"/>
              <w:bidi w:val="0"/>
              <w:spacing w:before="0" w:after="283"/>
              <w:jc w:val="left"/>
              <w:rPr>
                <w:sz w:val="20"/>
              </w:rPr>
            </w:pPr>
            <w:r>
              <w:rPr>
                <w:sz w:val="20"/>
              </w:rPr>
              <w:t>Divisions</w:t>
            </w:r>
          </w:p>
        </w:tc>
        <w:tc>
          <w:tcPr>
            <w:tcW w:w="515" w:type="dxa"/>
            <w:tcBorders/>
            <w:vAlign w:val="center"/>
          </w:tcPr>
          <w:p>
            <w:pPr>
              <w:pStyle w:val="TableContents"/>
              <w:bidi w:val="0"/>
              <w:spacing w:before="0" w:after="283"/>
              <w:jc w:val="right"/>
              <w:rPr/>
            </w:pPr>
            <w:r>
              <w:rPr>
                <w:strike/>
                <w:color w:val="FF0000"/>
                <w:sz w:val="20"/>
              </w:rPr>
              <w:t>31</w:t>
            </w:r>
            <w:r>
              <w:rPr>
                <w:color w:val="0000FF"/>
                <w:u w:val="single"/>
              </w:rPr>
              <w:t>38</w:t>
            </w:r>
          </w:p>
        </w:tc>
      </w:tr>
      <w:tr>
        <w:trPr/>
        <w:tc>
          <w:tcPr>
            <w:tcW w:w="455" w:type="dxa"/>
            <w:tcBorders/>
            <w:vAlign w:val="center"/>
          </w:tcPr>
          <w:p>
            <w:pPr>
              <w:pStyle w:val="TableContents"/>
              <w:bidi w:val="0"/>
              <w:spacing w:before="0" w:after="283"/>
              <w:jc w:val="left"/>
              <w:rPr>
                <w:sz w:val="20"/>
              </w:rPr>
            </w:pPr>
            <w:r>
              <w:rPr>
                <w:sz w:val="20"/>
              </w:rPr>
              <w:t>1.8</w:t>
            </w:r>
          </w:p>
        </w:tc>
        <w:tc>
          <w:tcPr>
            <w:tcW w:w="9235" w:type="dxa"/>
            <w:tcBorders/>
            <w:vAlign w:val="center"/>
          </w:tcPr>
          <w:p>
            <w:pPr>
              <w:pStyle w:val="TableContents"/>
              <w:bidi w:val="0"/>
              <w:spacing w:before="0" w:after="283"/>
              <w:jc w:val="left"/>
              <w:rPr>
                <w:sz w:val="20"/>
              </w:rPr>
            </w:pPr>
            <w:r>
              <w:rPr>
                <w:sz w:val="20"/>
              </w:rPr>
              <w:t>Rates</w:t>
            </w:r>
          </w:p>
        </w:tc>
        <w:tc>
          <w:tcPr>
            <w:tcW w:w="515" w:type="dxa"/>
            <w:tcBorders/>
            <w:vAlign w:val="center"/>
          </w:tcPr>
          <w:p>
            <w:pPr>
              <w:pStyle w:val="TableContents"/>
              <w:bidi w:val="0"/>
              <w:spacing w:before="0" w:after="283"/>
              <w:jc w:val="right"/>
              <w:rPr/>
            </w:pPr>
            <w:r>
              <w:rPr>
                <w:strike/>
                <w:color w:val="FF0000"/>
                <w:sz w:val="20"/>
              </w:rPr>
              <w:t>31</w:t>
            </w:r>
            <w:r>
              <w:rPr>
                <w:color w:val="0000FF"/>
                <w:u w:val="single"/>
              </w:rPr>
              <w:t>39</w:t>
            </w:r>
          </w:p>
        </w:tc>
      </w:tr>
      <w:tr>
        <w:trPr/>
        <w:tc>
          <w:tcPr>
            <w:tcW w:w="455" w:type="dxa"/>
            <w:tcBorders/>
            <w:vAlign w:val="center"/>
          </w:tcPr>
          <w:p>
            <w:pPr>
              <w:pStyle w:val="TableContents"/>
              <w:bidi w:val="0"/>
              <w:spacing w:before="0" w:after="283"/>
              <w:jc w:val="left"/>
              <w:rPr>
                <w:color w:val="0000FF"/>
                <w:u w:val="single"/>
              </w:rPr>
            </w:pPr>
            <w:r>
              <w:rPr>
                <w:color w:val="0000FF"/>
                <w:u w:val="single"/>
              </w:rPr>
              <w:t>1.9</w:t>
            </w:r>
          </w:p>
        </w:tc>
        <w:tc>
          <w:tcPr>
            <w:tcW w:w="9235" w:type="dxa"/>
            <w:tcBorders/>
            <w:vAlign w:val="center"/>
          </w:tcPr>
          <w:p>
            <w:pPr>
              <w:pStyle w:val="TableContents"/>
              <w:bidi w:val="0"/>
              <w:spacing w:before="0" w:after="283"/>
              <w:jc w:val="left"/>
              <w:rPr>
                <w:color w:val="0000FF"/>
                <w:u w:val="single"/>
              </w:rPr>
            </w:pPr>
            <w:r>
              <w:rPr>
                <w:color w:val="0000FF"/>
                <w:u w:val="single"/>
              </w:rPr>
              <w:t>Designation of Additional Loan Parties</w:t>
            </w:r>
          </w:p>
        </w:tc>
        <w:tc>
          <w:tcPr>
            <w:tcW w:w="515" w:type="dxa"/>
            <w:tcBorders/>
            <w:vAlign w:val="center"/>
          </w:tcPr>
          <w:p>
            <w:pPr>
              <w:pStyle w:val="TableContents"/>
              <w:bidi w:val="0"/>
              <w:spacing w:before="0" w:after="283"/>
              <w:jc w:val="right"/>
              <w:rPr>
                <w:color w:val="0000FF"/>
                <w:u w:val="single"/>
              </w:rPr>
            </w:pPr>
            <w:r>
              <w:rPr>
                <w:color w:val="0000FF"/>
                <w:u w:val="single"/>
              </w:rPr>
              <w:t>39</w:t>
            </w:r>
          </w:p>
        </w:tc>
      </w:tr>
      <w:tr>
        <w:trPr/>
        <w:tc>
          <w:tcPr>
            <w:tcW w:w="455" w:type="dxa"/>
            <w:tcBorders/>
            <w:vAlign w:val="center"/>
          </w:tcPr>
          <w:p>
            <w:pPr>
              <w:pStyle w:val="TableContents"/>
              <w:bidi w:val="0"/>
              <w:spacing w:before="0" w:after="283"/>
              <w:jc w:val="left"/>
              <w:rPr>
                <w:color w:val="0000FF"/>
                <w:u w:val="single"/>
              </w:rPr>
            </w:pPr>
            <w:r>
              <w:rPr>
                <w:color w:val="0000FF"/>
                <w:u w:val="single"/>
              </w:rPr>
              <w:t>1.10</w:t>
            </w:r>
          </w:p>
        </w:tc>
        <w:tc>
          <w:tcPr>
            <w:tcW w:w="9235" w:type="dxa"/>
            <w:tcBorders/>
            <w:vAlign w:val="center"/>
          </w:tcPr>
          <w:p>
            <w:pPr>
              <w:pStyle w:val="TableContents"/>
              <w:bidi w:val="0"/>
              <w:spacing w:before="0" w:after="283"/>
              <w:jc w:val="left"/>
              <w:rPr>
                <w:color w:val="0000FF"/>
                <w:u w:val="single"/>
              </w:rPr>
            </w:pPr>
            <w:r>
              <w:rPr>
                <w:color w:val="0000FF"/>
                <w:u w:val="single"/>
              </w:rPr>
              <w:t>Limited Condition Transactions</w:t>
            </w:r>
          </w:p>
        </w:tc>
        <w:tc>
          <w:tcPr>
            <w:tcW w:w="515" w:type="dxa"/>
            <w:tcBorders/>
            <w:vAlign w:val="center"/>
          </w:tcPr>
          <w:p>
            <w:pPr>
              <w:pStyle w:val="TableContents"/>
              <w:bidi w:val="0"/>
              <w:spacing w:before="0" w:after="283"/>
              <w:jc w:val="right"/>
              <w:rPr>
                <w:color w:val="0000FF"/>
                <w:u w:val="single"/>
              </w:rPr>
            </w:pPr>
            <w:r>
              <w:rPr>
                <w:color w:val="0000FF"/>
                <w:u w:val="single"/>
              </w:rPr>
              <w:t>41</w:t>
            </w:r>
          </w:p>
        </w:tc>
      </w:tr>
      <w:tr>
        <w:trPr/>
        <w:tc>
          <w:tcPr>
            <w:tcW w:w="455"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690" w:type="dxa"/>
            <w:gridSpan w:val="2"/>
            <w:tcBorders/>
            <w:vAlign w:val="center"/>
          </w:tcPr>
          <w:p>
            <w:pPr>
              <w:pStyle w:val="TableContents"/>
              <w:bidi w:val="0"/>
              <w:spacing w:before="0" w:after="283"/>
              <w:jc w:val="left"/>
              <w:rPr>
                <w:b/>
                <w:caps/>
                <w:sz w:val="20"/>
              </w:rPr>
            </w:pPr>
            <w:r>
              <w:rPr>
                <w:b/>
                <w:caps/>
                <w:sz w:val="20"/>
              </w:rPr>
              <w:t>Article II. THE CREDITS</w:t>
            </w:r>
          </w:p>
        </w:tc>
        <w:tc>
          <w:tcPr>
            <w:tcW w:w="515" w:type="dxa"/>
            <w:tcBorders/>
            <w:vAlign w:val="center"/>
          </w:tcPr>
          <w:p>
            <w:pPr>
              <w:pStyle w:val="TableContents"/>
              <w:bidi w:val="0"/>
              <w:spacing w:before="0" w:after="283"/>
              <w:jc w:val="right"/>
              <w:rPr/>
            </w:pPr>
            <w:r>
              <w:rPr>
                <w:b/>
                <w:caps/>
                <w:strike/>
                <w:color w:val="FF0000"/>
                <w:sz w:val="20"/>
              </w:rPr>
              <w:t>31</w:t>
            </w:r>
            <w:r>
              <w:rPr>
                <w:b/>
                <w:color w:val="0000FF"/>
                <w:u w:val="single"/>
              </w:rPr>
              <w:t>42</w:t>
            </w:r>
          </w:p>
        </w:tc>
      </w:tr>
      <w:tr>
        <w:trPr/>
        <w:tc>
          <w:tcPr>
            <w:tcW w:w="455" w:type="dxa"/>
            <w:tcBorders/>
            <w:vAlign w:val="center"/>
          </w:tcPr>
          <w:p>
            <w:pPr>
              <w:pStyle w:val="TableContents"/>
              <w:bidi w:val="0"/>
              <w:spacing w:before="0" w:after="283"/>
              <w:jc w:val="left"/>
              <w:rPr>
                <w:sz w:val="20"/>
              </w:rPr>
            </w:pPr>
            <w:r>
              <w:rPr>
                <w:sz w:val="20"/>
              </w:rPr>
              <w:t>2.1</w:t>
            </w:r>
          </w:p>
        </w:tc>
        <w:tc>
          <w:tcPr>
            <w:tcW w:w="9235" w:type="dxa"/>
            <w:tcBorders/>
            <w:vAlign w:val="center"/>
          </w:tcPr>
          <w:p>
            <w:pPr>
              <w:pStyle w:val="TableContents"/>
              <w:bidi w:val="0"/>
              <w:spacing w:before="0" w:after="283"/>
              <w:jc w:val="left"/>
              <w:rPr>
                <w:sz w:val="20"/>
              </w:rPr>
            </w:pPr>
            <w:r>
              <w:rPr>
                <w:sz w:val="20"/>
              </w:rPr>
              <w:t>Commitment</w:t>
            </w:r>
          </w:p>
        </w:tc>
        <w:tc>
          <w:tcPr>
            <w:tcW w:w="515" w:type="dxa"/>
            <w:tcBorders/>
            <w:vAlign w:val="center"/>
          </w:tcPr>
          <w:p>
            <w:pPr>
              <w:pStyle w:val="TableContents"/>
              <w:bidi w:val="0"/>
              <w:spacing w:before="0" w:after="283"/>
              <w:jc w:val="right"/>
              <w:rPr/>
            </w:pPr>
            <w:r>
              <w:rPr>
                <w:strike/>
                <w:color w:val="FF0000"/>
                <w:sz w:val="20"/>
              </w:rPr>
              <w:t>31</w:t>
            </w:r>
            <w:r>
              <w:rPr>
                <w:color w:val="0000FF"/>
                <w:u w:val="single"/>
              </w:rPr>
              <w:t>42</w:t>
            </w:r>
          </w:p>
        </w:tc>
      </w:tr>
      <w:tr>
        <w:trPr/>
        <w:tc>
          <w:tcPr>
            <w:tcW w:w="455" w:type="dxa"/>
            <w:tcBorders/>
            <w:vAlign w:val="center"/>
          </w:tcPr>
          <w:p>
            <w:pPr>
              <w:pStyle w:val="TableContents"/>
              <w:bidi w:val="0"/>
              <w:spacing w:before="0" w:after="283"/>
              <w:jc w:val="left"/>
              <w:rPr>
                <w:sz w:val="20"/>
              </w:rPr>
            </w:pPr>
            <w:r>
              <w:rPr>
                <w:sz w:val="20"/>
              </w:rPr>
              <w:t>2.2</w:t>
            </w:r>
          </w:p>
        </w:tc>
        <w:tc>
          <w:tcPr>
            <w:tcW w:w="9235" w:type="dxa"/>
            <w:tcBorders/>
            <w:vAlign w:val="center"/>
          </w:tcPr>
          <w:p>
            <w:pPr>
              <w:pStyle w:val="TableContents"/>
              <w:bidi w:val="0"/>
              <w:spacing w:before="0" w:after="283"/>
              <w:jc w:val="left"/>
              <w:rPr>
                <w:sz w:val="20"/>
              </w:rPr>
            </w:pPr>
            <w:r>
              <w:rPr>
                <w:sz w:val="20"/>
              </w:rPr>
              <w:t>Required Payments; Termination</w:t>
            </w:r>
          </w:p>
        </w:tc>
        <w:tc>
          <w:tcPr>
            <w:tcW w:w="515" w:type="dxa"/>
            <w:tcBorders/>
            <w:vAlign w:val="center"/>
          </w:tcPr>
          <w:p>
            <w:pPr>
              <w:pStyle w:val="TableContents"/>
              <w:bidi w:val="0"/>
              <w:spacing w:before="0" w:after="283"/>
              <w:jc w:val="right"/>
              <w:rPr/>
            </w:pPr>
            <w:r>
              <w:rPr>
                <w:strike/>
                <w:color w:val="FF0000"/>
                <w:sz w:val="20"/>
              </w:rPr>
              <w:t>31</w:t>
            </w:r>
            <w:r>
              <w:rPr>
                <w:color w:val="0000FF"/>
                <w:u w:val="single"/>
              </w:rPr>
              <w:t>45</w:t>
            </w:r>
          </w:p>
        </w:tc>
      </w:tr>
      <w:tr>
        <w:trPr/>
        <w:tc>
          <w:tcPr>
            <w:tcW w:w="455" w:type="dxa"/>
            <w:tcBorders/>
            <w:vAlign w:val="center"/>
          </w:tcPr>
          <w:p>
            <w:pPr>
              <w:pStyle w:val="TableContents"/>
              <w:bidi w:val="0"/>
              <w:spacing w:before="0" w:after="283"/>
              <w:jc w:val="left"/>
              <w:rPr>
                <w:sz w:val="20"/>
              </w:rPr>
            </w:pPr>
            <w:r>
              <w:rPr>
                <w:sz w:val="20"/>
              </w:rPr>
              <w:t>2.3</w:t>
            </w:r>
          </w:p>
        </w:tc>
        <w:tc>
          <w:tcPr>
            <w:tcW w:w="9235" w:type="dxa"/>
            <w:tcBorders/>
            <w:vAlign w:val="center"/>
          </w:tcPr>
          <w:p>
            <w:pPr>
              <w:pStyle w:val="TableContents"/>
              <w:bidi w:val="0"/>
              <w:spacing w:before="0" w:after="283"/>
              <w:jc w:val="left"/>
              <w:rPr>
                <w:sz w:val="20"/>
              </w:rPr>
            </w:pPr>
            <w:r>
              <w:rPr>
                <w:sz w:val="20"/>
              </w:rPr>
              <w:t>Ratable Loans</w:t>
            </w:r>
          </w:p>
        </w:tc>
        <w:tc>
          <w:tcPr>
            <w:tcW w:w="515" w:type="dxa"/>
            <w:tcBorders/>
            <w:vAlign w:val="center"/>
          </w:tcPr>
          <w:p>
            <w:pPr>
              <w:pStyle w:val="TableContents"/>
              <w:bidi w:val="0"/>
              <w:spacing w:before="0" w:after="283"/>
              <w:jc w:val="right"/>
              <w:rPr/>
            </w:pPr>
            <w:r>
              <w:rPr>
                <w:strike/>
                <w:color w:val="FF0000"/>
                <w:sz w:val="20"/>
              </w:rPr>
              <w:t>32</w:t>
            </w:r>
            <w:r>
              <w:rPr>
                <w:color w:val="0000FF"/>
                <w:u w:val="single"/>
              </w:rPr>
              <w:t>45</w:t>
            </w:r>
          </w:p>
        </w:tc>
      </w:tr>
      <w:tr>
        <w:trPr/>
        <w:tc>
          <w:tcPr>
            <w:tcW w:w="455" w:type="dxa"/>
            <w:tcBorders/>
            <w:vAlign w:val="center"/>
          </w:tcPr>
          <w:p>
            <w:pPr>
              <w:pStyle w:val="TableContents"/>
              <w:bidi w:val="0"/>
              <w:spacing w:before="0" w:after="283"/>
              <w:jc w:val="left"/>
              <w:rPr>
                <w:sz w:val="20"/>
              </w:rPr>
            </w:pPr>
            <w:r>
              <w:rPr>
                <w:sz w:val="20"/>
              </w:rPr>
              <w:t>2.4</w:t>
            </w:r>
          </w:p>
        </w:tc>
        <w:tc>
          <w:tcPr>
            <w:tcW w:w="9235" w:type="dxa"/>
            <w:tcBorders/>
            <w:vAlign w:val="center"/>
          </w:tcPr>
          <w:p>
            <w:pPr>
              <w:pStyle w:val="TableContents"/>
              <w:bidi w:val="0"/>
              <w:spacing w:before="0" w:after="283"/>
              <w:jc w:val="left"/>
              <w:rPr>
                <w:sz w:val="20"/>
              </w:rPr>
            </w:pPr>
            <w:r>
              <w:rPr>
                <w:sz w:val="20"/>
              </w:rPr>
              <w:t>Types of Advances</w:t>
            </w:r>
          </w:p>
        </w:tc>
        <w:tc>
          <w:tcPr>
            <w:tcW w:w="515" w:type="dxa"/>
            <w:tcBorders/>
            <w:vAlign w:val="center"/>
          </w:tcPr>
          <w:p>
            <w:pPr>
              <w:pStyle w:val="TableContents"/>
              <w:bidi w:val="0"/>
              <w:spacing w:before="0" w:after="283"/>
              <w:jc w:val="right"/>
              <w:rPr/>
            </w:pPr>
            <w:r>
              <w:rPr>
                <w:strike/>
                <w:color w:val="FF0000"/>
                <w:sz w:val="20"/>
              </w:rPr>
              <w:t>32</w:t>
            </w:r>
            <w:r>
              <w:rPr>
                <w:color w:val="0000FF"/>
                <w:u w:val="single"/>
              </w:rPr>
              <w:t>45</w:t>
            </w:r>
          </w:p>
        </w:tc>
      </w:tr>
      <w:tr>
        <w:trPr/>
        <w:tc>
          <w:tcPr>
            <w:tcW w:w="455" w:type="dxa"/>
            <w:tcBorders/>
            <w:vAlign w:val="center"/>
          </w:tcPr>
          <w:p>
            <w:pPr>
              <w:pStyle w:val="TableContents"/>
              <w:bidi w:val="0"/>
              <w:spacing w:before="0" w:after="283"/>
              <w:jc w:val="left"/>
              <w:rPr>
                <w:sz w:val="20"/>
              </w:rPr>
            </w:pPr>
            <w:r>
              <w:rPr>
                <w:sz w:val="20"/>
              </w:rPr>
              <w:t>2.5</w:t>
            </w:r>
          </w:p>
        </w:tc>
        <w:tc>
          <w:tcPr>
            <w:tcW w:w="9235" w:type="dxa"/>
            <w:tcBorders/>
            <w:vAlign w:val="center"/>
          </w:tcPr>
          <w:p>
            <w:pPr>
              <w:pStyle w:val="TableContents"/>
              <w:bidi w:val="0"/>
              <w:spacing w:before="0" w:after="283"/>
              <w:jc w:val="left"/>
              <w:rPr>
                <w:sz w:val="20"/>
              </w:rPr>
            </w:pPr>
            <w:r>
              <w:rPr>
                <w:sz w:val="20"/>
              </w:rPr>
              <w:t>Commitment Fee; Reductions in Aggregate Commitment; Administrative Fee</w:t>
            </w:r>
          </w:p>
        </w:tc>
        <w:tc>
          <w:tcPr>
            <w:tcW w:w="515" w:type="dxa"/>
            <w:tcBorders/>
            <w:vAlign w:val="center"/>
          </w:tcPr>
          <w:p>
            <w:pPr>
              <w:pStyle w:val="TableContents"/>
              <w:bidi w:val="0"/>
              <w:spacing w:before="0" w:after="283"/>
              <w:jc w:val="right"/>
              <w:rPr/>
            </w:pPr>
            <w:r>
              <w:rPr>
                <w:strike/>
                <w:color w:val="FF0000"/>
                <w:sz w:val="20"/>
              </w:rPr>
              <w:t>32</w:t>
            </w:r>
            <w:r>
              <w:rPr>
                <w:color w:val="0000FF"/>
                <w:u w:val="single"/>
              </w:rPr>
              <w:t>45</w:t>
            </w:r>
          </w:p>
        </w:tc>
      </w:tr>
      <w:tr>
        <w:trPr/>
        <w:tc>
          <w:tcPr>
            <w:tcW w:w="455" w:type="dxa"/>
            <w:tcBorders/>
            <w:vAlign w:val="center"/>
          </w:tcPr>
          <w:p>
            <w:pPr>
              <w:pStyle w:val="TableContents"/>
              <w:bidi w:val="0"/>
              <w:spacing w:before="0" w:after="283"/>
              <w:jc w:val="left"/>
              <w:rPr>
                <w:sz w:val="20"/>
              </w:rPr>
            </w:pPr>
            <w:r>
              <w:rPr>
                <w:sz w:val="20"/>
              </w:rPr>
              <w:t>2.6</w:t>
            </w:r>
          </w:p>
        </w:tc>
        <w:tc>
          <w:tcPr>
            <w:tcW w:w="9235" w:type="dxa"/>
            <w:tcBorders/>
            <w:vAlign w:val="center"/>
          </w:tcPr>
          <w:p>
            <w:pPr>
              <w:pStyle w:val="TableContents"/>
              <w:bidi w:val="0"/>
              <w:spacing w:before="0" w:after="283"/>
              <w:jc w:val="left"/>
              <w:rPr>
                <w:sz w:val="20"/>
              </w:rPr>
            </w:pPr>
            <w:r>
              <w:rPr>
                <w:sz w:val="20"/>
              </w:rPr>
              <w:t>Minimum Amount of Each Advance</w:t>
            </w:r>
          </w:p>
        </w:tc>
        <w:tc>
          <w:tcPr>
            <w:tcW w:w="515" w:type="dxa"/>
            <w:tcBorders/>
            <w:vAlign w:val="center"/>
          </w:tcPr>
          <w:p>
            <w:pPr>
              <w:pStyle w:val="TableContents"/>
              <w:bidi w:val="0"/>
              <w:spacing w:before="0" w:after="283"/>
              <w:jc w:val="right"/>
              <w:rPr/>
            </w:pPr>
            <w:r>
              <w:rPr>
                <w:strike/>
                <w:color w:val="FF0000"/>
                <w:sz w:val="20"/>
              </w:rPr>
              <w:t>32</w:t>
            </w:r>
            <w:r>
              <w:rPr>
                <w:color w:val="0000FF"/>
                <w:u w:val="single"/>
              </w:rPr>
              <w:t>46</w:t>
            </w:r>
          </w:p>
        </w:tc>
      </w:tr>
      <w:tr>
        <w:trPr/>
        <w:tc>
          <w:tcPr>
            <w:tcW w:w="455" w:type="dxa"/>
            <w:tcBorders/>
            <w:vAlign w:val="center"/>
          </w:tcPr>
          <w:p>
            <w:pPr>
              <w:pStyle w:val="TableContents"/>
              <w:bidi w:val="0"/>
              <w:spacing w:before="0" w:after="283"/>
              <w:jc w:val="left"/>
              <w:rPr>
                <w:sz w:val="20"/>
              </w:rPr>
            </w:pPr>
            <w:r>
              <w:rPr>
                <w:sz w:val="20"/>
              </w:rPr>
              <w:t>2.7</w:t>
            </w:r>
          </w:p>
        </w:tc>
        <w:tc>
          <w:tcPr>
            <w:tcW w:w="9235" w:type="dxa"/>
            <w:tcBorders/>
            <w:vAlign w:val="center"/>
          </w:tcPr>
          <w:p>
            <w:pPr>
              <w:pStyle w:val="TableContents"/>
              <w:bidi w:val="0"/>
              <w:spacing w:before="0" w:after="283"/>
              <w:jc w:val="left"/>
              <w:rPr>
                <w:sz w:val="20"/>
              </w:rPr>
            </w:pPr>
            <w:r>
              <w:rPr>
                <w:sz w:val="20"/>
              </w:rPr>
              <w:t>Optional Principal Payments</w:t>
            </w:r>
          </w:p>
        </w:tc>
        <w:tc>
          <w:tcPr>
            <w:tcW w:w="515" w:type="dxa"/>
            <w:tcBorders/>
            <w:vAlign w:val="center"/>
          </w:tcPr>
          <w:p>
            <w:pPr>
              <w:pStyle w:val="TableContents"/>
              <w:bidi w:val="0"/>
              <w:spacing w:before="0" w:after="283"/>
              <w:jc w:val="right"/>
              <w:rPr/>
            </w:pPr>
            <w:r>
              <w:rPr>
                <w:strike/>
                <w:color w:val="FF0000"/>
                <w:sz w:val="20"/>
              </w:rPr>
              <w:t>32</w:t>
            </w:r>
            <w:r>
              <w:rPr>
                <w:color w:val="0000FF"/>
                <w:u w:val="single"/>
              </w:rPr>
              <w:t>47</w:t>
            </w:r>
          </w:p>
        </w:tc>
      </w:tr>
      <w:tr>
        <w:trPr/>
        <w:tc>
          <w:tcPr>
            <w:tcW w:w="455" w:type="dxa"/>
            <w:tcBorders/>
            <w:vAlign w:val="center"/>
          </w:tcPr>
          <w:p>
            <w:pPr>
              <w:pStyle w:val="TableContents"/>
              <w:bidi w:val="0"/>
              <w:spacing w:before="0" w:after="283"/>
              <w:jc w:val="left"/>
              <w:rPr>
                <w:sz w:val="20"/>
              </w:rPr>
            </w:pPr>
            <w:r>
              <w:rPr>
                <w:sz w:val="20"/>
              </w:rPr>
              <w:t>2.8</w:t>
            </w:r>
          </w:p>
        </w:tc>
        <w:tc>
          <w:tcPr>
            <w:tcW w:w="9235" w:type="dxa"/>
            <w:tcBorders/>
            <w:vAlign w:val="center"/>
          </w:tcPr>
          <w:p>
            <w:pPr>
              <w:pStyle w:val="TableContents"/>
              <w:bidi w:val="0"/>
              <w:spacing w:before="0" w:after="283"/>
              <w:jc w:val="left"/>
              <w:rPr>
                <w:sz w:val="20"/>
              </w:rPr>
            </w:pPr>
            <w:r>
              <w:rPr>
                <w:sz w:val="20"/>
              </w:rPr>
              <w:t>Method of Selecting Types and Interest Periods for New Advances</w:t>
            </w:r>
          </w:p>
        </w:tc>
        <w:tc>
          <w:tcPr>
            <w:tcW w:w="515" w:type="dxa"/>
            <w:tcBorders/>
            <w:vAlign w:val="center"/>
          </w:tcPr>
          <w:p>
            <w:pPr>
              <w:pStyle w:val="TableContents"/>
              <w:bidi w:val="0"/>
              <w:spacing w:before="0" w:after="283"/>
              <w:jc w:val="right"/>
              <w:rPr/>
            </w:pPr>
            <w:r>
              <w:rPr>
                <w:strike/>
                <w:color w:val="FF0000"/>
                <w:sz w:val="20"/>
              </w:rPr>
              <w:t>32</w:t>
            </w:r>
            <w:r>
              <w:rPr>
                <w:color w:val="0000FF"/>
                <w:u w:val="single"/>
              </w:rPr>
              <w:t>47</w:t>
            </w:r>
          </w:p>
        </w:tc>
      </w:tr>
      <w:tr>
        <w:trPr/>
        <w:tc>
          <w:tcPr>
            <w:tcW w:w="455" w:type="dxa"/>
            <w:tcBorders/>
            <w:vAlign w:val="center"/>
          </w:tcPr>
          <w:p>
            <w:pPr>
              <w:pStyle w:val="TableContents"/>
              <w:bidi w:val="0"/>
              <w:spacing w:before="0" w:after="283"/>
              <w:jc w:val="left"/>
              <w:rPr>
                <w:sz w:val="20"/>
              </w:rPr>
            </w:pPr>
            <w:r>
              <w:rPr>
                <w:sz w:val="20"/>
              </w:rPr>
              <w:t>2.9</w:t>
            </w:r>
          </w:p>
        </w:tc>
        <w:tc>
          <w:tcPr>
            <w:tcW w:w="9235" w:type="dxa"/>
            <w:tcBorders/>
            <w:vAlign w:val="center"/>
          </w:tcPr>
          <w:p>
            <w:pPr>
              <w:pStyle w:val="TableContents"/>
              <w:bidi w:val="0"/>
              <w:spacing w:before="0" w:after="283"/>
              <w:jc w:val="left"/>
              <w:rPr>
                <w:sz w:val="20"/>
              </w:rPr>
            </w:pPr>
            <w:r>
              <w:rPr>
                <w:sz w:val="20"/>
              </w:rPr>
              <w:t>Conversion and Continuation of Outstanding Advances</w:t>
            </w:r>
          </w:p>
        </w:tc>
        <w:tc>
          <w:tcPr>
            <w:tcW w:w="515" w:type="dxa"/>
            <w:tcBorders/>
            <w:vAlign w:val="center"/>
          </w:tcPr>
          <w:p>
            <w:pPr>
              <w:pStyle w:val="TableContents"/>
              <w:bidi w:val="0"/>
              <w:spacing w:before="0" w:after="283"/>
              <w:jc w:val="right"/>
              <w:rPr/>
            </w:pPr>
            <w:r>
              <w:rPr>
                <w:strike/>
                <w:color w:val="FF0000"/>
                <w:sz w:val="20"/>
              </w:rPr>
              <w:t>33</w:t>
            </w:r>
            <w:r>
              <w:rPr>
                <w:color w:val="0000FF"/>
                <w:u w:val="single"/>
              </w:rPr>
              <w:t>48</w:t>
            </w:r>
          </w:p>
        </w:tc>
      </w:tr>
      <w:tr>
        <w:trPr/>
        <w:tc>
          <w:tcPr>
            <w:tcW w:w="455" w:type="dxa"/>
            <w:tcBorders/>
            <w:vAlign w:val="center"/>
          </w:tcPr>
          <w:p>
            <w:pPr>
              <w:pStyle w:val="TableContents"/>
              <w:bidi w:val="0"/>
              <w:spacing w:before="0" w:after="283"/>
              <w:jc w:val="left"/>
              <w:rPr>
                <w:sz w:val="20"/>
              </w:rPr>
            </w:pPr>
            <w:r>
              <w:rPr>
                <w:sz w:val="20"/>
              </w:rPr>
              <w:t>2.10</w:t>
            </w:r>
          </w:p>
        </w:tc>
        <w:tc>
          <w:tcPr>
            <w:tcW w:w="9235" w:type="dxa"/>
            <w:tcBorders/>
            <w:vAlign w:val="center"/>
          </w:tcPr>
          <w:p>
            <w:pPr>
              <w:pStyle w:val="TableContents"/>
              <w:bidi w:val="0"/>
              <w:spacing w:before="0" w:after="283"/>
              <w:jc w:val="left"/>
              <w:rPr>
                <w:sz w:val="20"/>
              </w:rPr>
            </w:pPr>
            <w:r>
              <w:rPr>
                <w:sz w:val="20"/>
              </w:rPr>
              <w:t>Changes in Interest Rate; Applicable Margin</w:t>
            </w:r>
          </w:p>
        </w:tc>
        <w:tc>
          <w:tcPr>
            <w:tcW w:w="515" w:type="dxa"/>
            <w:tcBorders/>
            <w:vAlign w:val="center"/>
          </w:tcPr>
          <w:p>
            <w:pPr>
              <w:pStyle w:val="TableContents"/>
              <w:bidi w:val="0"/>
              <w:spacing w:before="0" w:after="283"/>
              <w:jc w:val="right"/>
              <w:rPr/>
            </w:pPr>
            <w:r>
              <w:rPr>
                <w:strike/>
                <w:color w:val="FF0000"/>
                <w:sz w:val="20"/>
              </w:rPr>
              <w:t>33</w:t>
            </w:r>
            <w:r>
              <w:rPr>
                <w:color w:val="0000FF"/>
                <w:u w:val="single"/>
              </w:rPr>
              <w:t>49</w:t>
            </w:r>
          </w:p>
        </w:tc>
      </w:tr>
      <w:tr>
        <w:trPr/>
        <w:tc>
          <w:tcPr>
            <w:tcW w:w="455" w:type="dxa"/>
            <w:tcBorders/>
            <w:vAlign w:val="center"/>
          </w:tcPr>
          <w:p>
            <w:pPr>
              <w:pStyle w:val="TableContents"/>
              <w:bidi w:val="0"/>
              <w:spacing w:before="0" w:after="283"/>
              <w:jc w:val="left"/>
              <w:rPr>
                <w:sz w:val="20"/>
              </w:rPr>
            </w:pPr>
            <w:r>
              <w:rPr>
                <w:sz w:val="20"/>
              </w:rPr>
              <w:t>2.11</w:t>
            </w:r>
          </w:p>
        </w:tc>
        <w:tc>
          <w:tcPr>
            <w:tcW w:w="9235" w:type="dxa"/>
            <w:tcBorders/>
            <w:vAlign w:val="center"/>
          </w:tcPr>
          <w:p>
            <w:pPr>
              <w:pStyle w:val="TableContents"/>
              <w:bidi w:val="0"/>
              <w:spacing w:before="0" w:after="283"/>
              <w:jc w:val="left"/>
              <w:rPr>
                <w:sz w:val="20"/>
              </w:rPr>
            </w:pPr>
            <w:r>
              <w:rPr>
                <w:sz w:val="20"/>
              </w:rPr>
              <w:t>Rates Applicable After Default</w:t>
            </w:r>
          </w:p>
        </w:tc>
        <w:tc>
          <w:tcPr>
            <w:tcW w:w="515" w:type="dxa"/>
            <w:tcBorders/>
            <w:vAlign w:val="center"/>
          </w:tcPr>
          <w:p>
            <w:pPr>
              <w:pStyle w:val="TableContents"/>
              <w:bidi w:val="0"/>
              <w:spacing w:before="0" w:after="283"/>
              <w:jc w:val="right"/>
              <w:rPr/>
            </w:pPr>
            <w:r>
              <w:rPr>
                <w:strike/>
                <w:color w:val="FF0000"/>
                <w:sz w:val="20"/>
              </w:rPr>
              <w:t>34</w:t>
            </w:r>
            <w:r>
              <w:rPr>
                <w:color w:val="0000FF"/>
                <w:u w:val="single"/>
              </w:rPr>
              <w:t>49</w:t>
            </w:r>
          </w:p>
        </w:tc>
      </w:tr>
      <w:tr>
        <w:trPr/>
        <w:tc>
          <w:tcPr>
            <w:tcW w:w="455" w:type="dxa"/>
            <w:tcBorders/>
            <w:vAlign w:val="center"/>
          </w:tcPr>
          <w:p>
            <w:pPr>
              <w:pStyle w:val="TableContents"/>
              <w:bidi w:val="0"/>
              <w:spacing w:before="0" w:after="283"/>
              <w:jc w:val="left"/>
              <w:rPr>
                <w:sz w:val="20"/>
              </w:rPr>
            </w:pPr>
            <w:r>
              <w:rPr>
                <w:sz w:val="20"/>
              </w:rPr>
              <w:t>2.12</w:t>
            </w:r>
          </w:p>
        </w:tc>
        <w:tc>
          <w:tcPr>
            <w:tcW w:w="9235" w:type="dxa"/>
            <w:tcBorders/>
            <w:vAlign w:val="center"/>
          </w:tcPr>
          <w:p>
            <w:pPr>
              <w:pStyle w:val="TableContents"/>
              <w:bidi w:val="0"/>
              <w:spacing w:before="0" w:after="283"/>
              <w:jc w:val="left"/>
              <w:rPr>
                <w:sz w:val="20"/>
              </w:rPr>
            </w:pPr>
            <w:r>
              <w:rPr>
                <w:sz w:val="20"/>
              </w:rPr>
              <w:t>Method of Payment</w:t>
            </w:r>
          </w:p>
        </w:tc>
        <w:tc>
          <w:tcPr>
            <w:tcW w:w="515" w:type="dxa"/>
            <w:tcBorders/>
            <w:vAlign w:val="center"/>
          </w:tcPr>
          <w:p>
            <w:pPr>
              <w:pStyle w:val="TableContents"/>
              <w:bidi w:val="0"/>
              <w:spacing w:before="0" w:after="283"/>
              <w:jc w:val="right"/>
              <w:rPr/>
            </w:pPr>
            <w:r>
              <w:rPr>
                <w:strike/>
                <w:color w:val="FF0000"/>
                <w:sz w:val="20"/>
              </w:rPr>
              <w:t>34</w:t>
            </w:r>
            <w:r>
              <w:rPr>
                <w:color w:val="0000FF"/>
                <w:u w:val="single"/>
              </w:rPr>
              <w:t>49</w:t>
            </w:r>
          </w:p>
        </w:tc>
      </w:tr>
      <w:tr>
        <w:trPr/>
        <w:tc>
          <w:tcPr>
            <w:tcW w:w="455" w:type="dxa"/>
            <w:tcBorders/>
            <w:vAlign w:val="center"/>
          </w:tcPr>
          <w:p>
            <w:pPr>
              <w:pStyle w:val="TableContents"/>
              <w:bidi w:val="0"/>
              <w:spacing w:before="0" w:after="283"/>
              <w:jc w:val="left"/>
              <w:rPr>
                <w:sz w:val="20"/>
              </w:rPr>
            </w:pPr>
            <w:r>
              <w:rPr>
                <w:sz w:val="20"/>
              </w:rPr>
              <w:t>2.13</w:t>
            </w:r>
          </w:p>
        </w:tc>
        <w:tc>
          <w:tcPr>
            <w:tcW w:w="9235" w:type="dxa"/>
            <w:tcBorders/>
            <w:vAlign w:val="center"/>
          </w:tcPr>
          <w:p>
            <w:pPr>
              <w:pStyle w:val="TableContents"/>
              <w:bidi w:val="0"/>
              <w:spacing w:before="0" w:after="283"/>
              <w:jc w:val="left"/>
              <w:rPr>
                <w:sz w:val="20"/>
              </w:rPr>
            </w:pPr>
            <w:r>
              <w:rPr>
                <w:sz w:val="20"/>
              </w:rPr>
              <w:t>Noteless Agreement; Evidence of Indebtedness</w:t>
            </w:r>
          </w:p>
        </w:tc>
        <w:tc>
          <w:tcPr>
            <w:tcW w:w="515" w:type="dxa"/>
            <w:tcBorders/>
            <w:vAlign w:val="center"/>
          </w:tcPr>
          <w:p>
            <w:pPr>
              <w:pStyle w:val="TableContents"/>
              <w:bidi w:val="0"/>
              <w:spacing w:before="0" w:after="283"/>
              <w:jc w:val="right"/>
              <w:rPr/>
            </w:pPr>
            <w:r>
              <w:rPr>
                <w:strike/>
                <w:color w:val="FF0000"/>
                <w:sz w:val="20"/>
              </w:rPr>
              <w:t>34</w:t>
            </w:r>
            <w:r>
              <w:rPr>
                <w:color w:val="0000FF"/>
                <w:u w:val="single"/>
              </w:rPr>
              <w:t>49</w:t>
            </w:r>
          </w:p>
        </w:tc>
      </w:tr>
      <w:tr>
        <w:trPr/>
        <w:tc>
          <w:tcPr>
            <w:tcW w:w="455" w:type="dxa"/>
            <w:tcBorders/>
            <w:vAlign w:val="center"/>
          </w:tcPr>
          <w:p>
            <w:pPr>
              <w:pStyle w:val="TableContents"/>
              <w:bidi w:val="0"/>
              <w:spacing w:before="0" w:after="283"/>
              <w:jc w:val="left"/>
              <w:rPr>
                <w:sz w:val="20"/>
              </w:rPr>
            </w:pPr>
            <w:r>
              <w:rPr>
                <w:sz w:val="20"/>
              </w:rPr>
              <w:t>2.14</w:t>
            </w:r>
          </w:p>
        </w:tc>
        <w:tc>
          <w:tcPr>
            <w:tcW w:w="9235" w:type="dxa"/>
            <w:tcBorders/>
            <w:vAlign w:val="center"/>
          </w:tcPr>
          <w:p>
            <w:pPr>
              <w:pStyle w:val="TableContents"/>
              <w:bidi w:val="0"/>
              <w:spacing w:before="0" w:after="283"/>
              <w:jc w:val="left"/>
              <w:rPr/>
            </w:pPr>
            <w:r>
              <w:rPr>
                <w:strike/>
                <w:color w:val="FF0000"/>
                <w:sz w:val="20"/>
              </w:rPr>
              <w:t>Telephonic/</w:t>
            </w:r>
            <w:r>
              <w:rPr>
                <w:sz w:val="20"/>
              </w:rPr>
              <w:t>Electronic Notices</w:t>
            </w:r>
          </w:p>
        </w:tc>
        <w:tc>
          <w:tcPr>
            <w:tcW w:w="515" w:type="dxa"/>
            <w:tcBorders/>
            <w:vAlign w:val="center"/>
          </w:tcPr>
          <w:p>
            <w:pPr>
              <w:pStyle w:val="TableContents"/>
              <w:bidi w:val="0"/>
              <w:spacing w:before="0" w:after="283"/>
              <w:jc w:val="right"/>
              <w:rPr/>
            </w:pPr>
            <w:r>
              <w:rPr>
                <w:strike/>
                <w:color w:val="FF0000"/>
                <w:sz w:val="20"/>
              </w:rPr>
              <w:t>35</w:t>
            </w:r>
            <w:r>
              <w:rPr>
                <w:color w:val="0000FF"/>
                <w:u w:val="single"/>
              </w:rPr>
              <w:t>50</w:t>
            </w:r>
          </w:p>
        </w:tc>
      </w:tr>
      <w:tr>
        <w:trPr/>
        <w:tc>
          <w:tcPr>
            <w:tcW w:w="455" w:type="dxa"/>
            <w:tcBorders/>
            <w:vAlign w:val="center"/>
          </w:tcPr>
          <w:p>
            <w:pPr>
              <w:pStyle w:val="TableContents"/>
              <w:bidi w:val="0"/>
              <w:spacing w:before="0" w:after="283"/>
              <w:jc w:val="left"/>
              <w:rPr>
                <w:sz w:val="20"/>
              </w:rPr>
            </w:pPr>
            <w:r>
              <w:rPr>
                <w:sz w:val="20"/>
              </w:rPr>
              <w:t>2.15</w:t>
            </w:r>
          </w:p>
        </w:tc>
        <w:tc>
          <w:tcPr>
            <w:tcW w:w="9235" w:type="dxa"/>
            <w:tcBorders/>
            <w:vAlign w:val="center"/>
          </w:tcPr>
          <w:p>
            <w:pPr>
              <w:pStyle w:val="TableContents"/>
              <w:bidi w:val="0"/>
              <w:spacing w:before="0" w:after="283"/>
              <w:jc w:val="left"/>
              <w:rPr>
                <w:sz w:val="20"/>
              </w:rPr>
            </w:pPr>
            <w:r>
              <w:rPr>
                <w:sz w:val="20"/>
              </w:rPr>
              <w:t>Interest Payment Dates; Interest and Fee Basis</w:t>
            </w:r>
          </w:p>
        </w:tc>
        <w:tc>
          <w:tcPr>
            <w:tcW w:w="515" w:type="dxa"/>
            <w:tcBorders/>
            <w:vAlign w:val="center"/>
          </w:tcPr>
          <w:p>
            <w:pPr>
              <w:pStyle w:val="TableContents"/>
              <w:bidi w:val="0"/>
              <w:spacing w:before="0" w:after="283"/>
              <w:jc w:val="right"/>
              <w:rPr/>
            </w:pPr>
            <w:r>
              <w:rPr>
                <w:strike/>
                <w:color w:val="FF0000"/>
                <w:sz w:val="20"/>
              </w:rPr>
              <w:t>35</w:t>
            </w:r>
            <w:r>
              <w:rPr>
                <w:color w:val="0000FF"/>
                <w:u w:val="single"/>
              </w:rPr>
              <w:t>50</w:t>
            </w:r>
          </w:p>
        </w:tc>
      </w:tr>
      <w:tr>
        <w:trPr/>
        <w:tc>
          <w:tcPr>
            <w:tcW w:w="455" w:type="dxa"/>
            <w:tcBorders/>
            <w:vAlign w:val="center"/>
          </w:tcPr>
          <w:p>
            <w:pPr>
              <w:pStyle w:val="TableContents"/>
              <w:bidi w:val="0"/>
              <w:spacing w:before="0" w:after="283"/>
              <w:jc w:val="left"/>
              <w:rPr>
                <w:sz w:val="20"/>
              </w:rPr>
            </w:pPr>
            <w:r>
              <w:rPr>
                <w:sz w:val="20"/>
              </w:rPr>
              <w:t>2.16</w:t>
            </w:r>
          </w:p>
        </w:tc>
        <w:tc>
          <w:tcPr>
            <w:tcW w:w="9235" w:type="dxa"/>
            <w:tcBorders/>
            <w:vAlign w:val="center"/>
          </w:tcPr>
          <w:p>
            <w:pPr>
              <w:pStyle w:val="TableContents"/>
              <w:bidi w:val="0"/>
              <w:spacing w:before="0" w:after="283"/>
              <w:jc w:val="left"/>
              <w:rPr>
                <w:sz w:val="20"/>
              </w:rPr>
            </w:pPr>
            <w:r>
              <w:rPr>
                <w:sz w:val="20"/>
              </w:rPr>
              <w:t>Notification of Advances, Interest Rates, Prepayments and Commitment Reductions</w:t>
            </w:r>
          </w:p>
        </w:tc>
        <w:tc>
          <w:tcPr>
            <w:tcW w:w="515" w:type="dxa"/>
            <w:tcBorders/>
            <w:vAlign w:val="center"/>
          </w:tcPr>
          <w:p>
            <w:pPr>
              <w:pStyle w:val="TableContents"/>
              <w:bidi w:val="0"/>
              <w:spacing w:before="0" w:after="283"/>
              <w:jc w:val="right"/>
              <w:rPr/>
            </w:pPr>
            <w:r>
              <w:rPr>
                <w:strike/>
                <w:color w:val="FF0000"/>
                <w:sz w:val="20"/>
              </w:rPr>
              <w:t>35</w:t>
            </w:r>
            <w:r>
              <w:rPr>
                <w:color w:val="0000FF"/>
                <w:u w:val="single"/>
              </w:rPr>
              <w:t>51</w:t>
            </w:r>
          </w:p>
        </w:tc>
      </w:tr>
      <w:tr>
        <w:trPr/>
        <w:tc>
          <w:tcPr>
            <w:tcW w:w="455" w:type="dxa"/>
            <w:tcBorders/>
            <w:vAlign w:val="center"/>
          </w:tcPr>
          <w:p>
            <w:pPr>
              <w:pStyle w:val="TableContents"/>
              <w:bidi w:val="0"/>
              <w:spacing w:before="0" w:after="283"/>
              <w:jc w:val="left"/>
              <w:rPr>
                <w:sz w:val="20"/>
              </w:rPr>
            </w:pPr>
            <w:r>
              <w:rPr>
                <w:sz w:val="20"/>
              </w:rPr>
              <w:t>2.17</w:t>
            </w:r>
          </w:p>
        </w:tc>
        <w:tc>
          <w:tcPr>
            <w:tcW w:w="9235" w:type="dxa"/>
            <w:tcBorders/>
            <w:vAlign w:val="center"/>
          </w:tcPr>
          <w:p>
            <w:pPr>
              <w:pStyle w:val="TableContents"/>
              <w:bidi w:val="0"/>
              <w:spacing w:before="0" w:after="283"/>
              <w:jc w:val="left"/>
              <w:rPr>
                <w:sz w:val="20"/>
              </w:rPr>
            </w:pPr>
            <w:r>
              <w:rPr>
                <w:sz w:val="20"/>
              </w:rPr>
              <w:t>Lending Installations</w:t>
            </w:r>
          </w:p>
        </w:tc>
        <w:tc>
          <w:tcPr>
            <w:tcW w:w="515" w:type="dxa"/>
            <w:tcBorders/>
            <w:vAlign w:val="center"/>
          </w:tcPr>
          <w:p>
            <w:pPr>
              <w:pStyle w:val="TableContents"/>
              <w:bidi w:val="0"/>
              <w:spacing w:before="0" w:after="283"/>
              <w:jc w:val="right"/>
              <w:rPr/>
            </w:pPr>
            <w:r>
              <w:rPr>
                <w:strike/>
                <w:color w:val="FF0000"/>
                <w:sz w:val="20"/>
              </w:rPr>
              <w:t>35</w:t>
            </w:r>
            <w:r>
              <w:rPr>
                <w:color w:val="0000FF"/>
                <w:u w:val="single"/>
              </w:rPr>
              <w:t>51</w:t>
            </w:r>
          </w:p>
        </w:tc>
      </w:tr>
      <w:tr>
        <w:trPr/>
        <w:tc>
          <w:tcPr>
            <w:tcW w:w="455" w:type="dxa"/>
            <w:tcBorders/>
            <w:vAlign w:val="center"/>
          </w:tcPr>
          <w:p>
            <w:pPr>
              <w:pStyle w:val="TableContents"/>
              <w:bidi w:val="0"/>
              <w:spacing w:before="0" w:after="283"/>
              <w:jc w:val="left"/>
              <w:rPr>
                <w:sz w:val="20"/>
              </w:rPr>
            </w:pPr>
            <w:r>
              <w:rPr>
                <w:sz w:val="20"/>
              </w:rPr>
              <w:t>2.18</w:t>
            </w:r>
          </w:p>
        </w:tc>
        <w:tc>
          <w:tcPr>
            <w:tcW w:w="9235" w:type="dxa"/>
            <w:tcBorders/>
            <w:vAlign w:val="center"/>
          </w:tcPr>
          <w:p>
            <w:pPr>
              <w:pStyle w:val="TableContents"/>
              <w:bidi w:val="0"/>
              <w:spacing w:before="0" w:after="283"/>
              <w:jc w:val="left"/>
              <w:rPr>
                <w:sz w:val="20"/>
              </w:rPr>
            </w:pPr>
            <w:r>
              <w:rPr>
                <w:sz w:val="20"/>
              </w:rPr>
              <w:t>Non-Receipt of Funds by the Agent</w:t>
            </w:r>
          </w:p>
        </w:tc>
        <w:tc>
          <w:tcPr>
            <w:tcW w:w="515" w:type="dxa"/>
            <w:tcBorders/>
            <w:vAlign w:val="center"/>
          </w:tcPr>
          <w:p>
            <w:pPr>
              <w:pStyle w:val="TableContents"/>
              <w:bidi w:val="0"/>
              <w:spacing w:before="0" w:after="283"/>
              <w:jc w:val="right"/>
              <w:rPr/>
            </w:pPr>
            <w:r>
              <w:rPr>
                <w:strike/>
                <w:color w:val="FF0000"/>
                <w:sz w:val="20"/>
              </w:rPr>
              <w:t>35</w:t>
            </w:r>
            <w:r>
              <w:rPr>
                <w:color w:val="0000FF"/>
                <w:u w:val="single"/>
              </w:rPr>
              <w:t>51</w:t>
            </w:r>
          </w:p>
        </w:tc>
      </w:tr>
      <w:tr>
        <w:trPr/>
        <w:tc>
          <w:tcPr>
            <w:tcW w:w="455" w:type="dxa"/>
            <w:tcBorders/>
            <w:vAlign w:val="center"/>
          </w:tcPr>
          <w:p>
            <w:pPr>
              <w:pStyle w:val="TableContents"/>
              <w:bidi w:val="0"/>
              <w:spacing w:before="0" w:after="283"/>
              <w:jc w:val="left"/>
              <w:rPr>
                <w:sz w:val="20"/>
              </w:rPr>
            </w:pPr>
            <w:r>
              <w:rPr>
                <w:sz w:val="20"/>
              </w:rPr>
              <w:t>2.19</w:t>
            </w:r>
          </w:p>
        </w:tc>
        <w:tc>
          <w:tcPr>
            <w:tcW w:w="9235" w:type="dxa"/>
            <w:tcBorders/>
            <w:vAlign w:val="center"/>
          </w:tcPr>
          <w:p>
            <w:pPr>
              <w:pStyle w:val="TableContents"/>
              <w:bidi w:val="0"/>
              <w:spacing w:before="0" w:after="283"/>
              <w:jc w:val="left"/>
              <w:rPr>
                <w:sz w:val="20"/>
              </w:rPr>
            </w:pPr>
            <w:r>
              <w:rPr>
                <w:sz w:val="20"/>
              </w:rPr>
              <w:t>Letters of Credit</w:t>
            </w:r>
          </w:p>
        </w:tc>
        <w:tc>
          <w:tcPr>
            <w:tcW w:w="515" w:type="dxa"/>
            <w:tcBorders/>
            <w:vAlign w:val="center"/>
          </w:tcPr>
          <w:p>
            <w:pPr>
              <w:pStyle w:val="TableContents"/>
              <w:bidi w:val="0"/>
              <w:spacing w:before="0" w:after="283"/>
              <w:jc w:val="right"/>
              <w:rPr/>
            </w:pPr>
            <w:r>
              <w:rPr>
                <w:strike/>
                <w:color w:val="FF0000"/>
                <w:sz w:val="20"/>
              </w:rPr>
              <w:t>36</w:t>
            </w:r>
            <w:r>
              <w:rPr>
                <w:color w:val="0000FF"/>
                <w:u w:val="single"/>
              </w:rPr>
              <w:t>51</w:t>
            </w:r>
          </w:p>
        </w:tc>
      </w:tr>
      <w:tr>
        <w:trPr/>
        <w:tc>
          <w:tcPr>
            <w:tcW w:w="455" w:type="dxa"/>
            <w:tcBorders/>
            <w:vAlign w:val="center"/>
          </w:tcPr>
          <w:p>
            <w:pPr>
              <w:pStyle w:val="TableContents"/>
              <w:bidi w:val="0"/>
              <w:spacing w:before="0" w:after="283"/>
              <w:jc w:val="left"/>
              <w:rPr>
                <w:sz w:val="20"/>
              </w:rPr>
            </w:pPr>
            <w:r>
              <w:rPr>
                <w:sz w:val="20"/>
              </w:rPr>
              <w:t>2.20</w:t>
            </w:r>
          </w:p>
        </w:tc>
        <w:tc>
          <w:tcPr>
            <w:tcW w:w="9235" w:type="dxa"/>
            <w:tcBorders/>
            <w:vAlign w:val="center"/>
          </w:tcPr>
          <w:p>
            <w:pPr>
              <w:pStyle w:val="TableContents"/>
              <w:bidi w:val="0"/>
              <w:spacing w:before="0" w:after="283"/>
              <w:jc w:val="left"/>
              <w:rPr>
                <w:sz w:val="20"/>
              </w:rPr>
            </w:pPr>
            <w:r>
              <w:rPr>
                <w:sz w:val="20"/>
              </w:rPr>
              <w:t>Mitigation Obligations; Replacement of Lenders</w:t>
            </w:r>
          </w:p>
        </w:tc>
        <w:tc>
          <w:tcPr>
            <w:tcW w:w="515" w:type="dxa"/>
            <w:tcBorders/>
            <w:vAlign w:val="center"/>
          </w:tcPr>
          <w:p>
            <w:pPr>
              <w:pStyle w:val="TableContents"/>
              <w:bidi w:val="0"/>
              <w:spacing w:before="0" w:after="283"/>
              <w:jc w:val="right"/>
              <w:rPr/>
            </w:pPr>
            <w:r>
              <w:rPr>
                <w:strike/>
                <w:color w:val="FF0000"/>
                <w:sz w:val="20"/>
              </w:rPr>
              <w:t>42</w:t>
            </w:r>
            <w:r>
              <w:rPr>
                <w:color w:val="0000FF"/>
                <w:u w:val="single"/>
              </w:rPr>
              <w:t>59</w:t>
            </w:r>
          </w:p>
        </w:tc>
      </w:tr>
      <w:tr>
        <w:trPr/>
        <w:tc>
          <w:tcPr>
            <w:tcW w:w="455" w:type="dxa"/>
            <w:tcBorders/>
            <w:vAlign w:val="center"/>
          </w:tcPr>
          <w:p>
            <w:pPr>
              <w:pStyle w:val="TableContents"/>
              <w:bidi w:val="0"/>
              <w:spacing w:before="0" w:after="283"/>
              <w:jc w:val="left"/>
              <w:rPr>
                <w:sz w:val="20"/>
              </w:rPr>
            </w:pPr>
            <w:r>
              <w:rPr>
                <w:sz w:val="20"/>
              </w:rPr>
              <w:t>2.21</w:t>
            </w:r>
          </w:p>
        </w:tc>
        <w:tc>
          <w:tcPr>
            <w:tcW w:w="9235" w:type="dxa"/>
            <w:tcBorders/>
            <w:vAlign w:val="center"/>
          </w:tcPr>
          <w:p>
            <w:pPr>
              <w:pStyle w:val="TableContents"/>
              <w:bidi w:val="0"/>
              <w:spacing w:before="0" w:after="283"/>
              <w:jc w:val="left"/>
              <w:rPr>
                <w:sz w:val="20"/>
              </w:rPr>
            </w:pPr>
            <w:r>
              <w:rPr>
                <w:sz w:val="20"/>
              </w:rPr>
              <w:t>Cash Collateral</w:t>
            </w:r>
          </w:p>
        </w:tc>
        <w:tc>
          <w:tcPr>
            <w:tcW w:w="515" w:type="dxa"/>
            <w:tcBorders/>
            <w:vAlign w:val="center"/>
          </w:tcPr>
          <w:p>
            <w:pPr>
              <w:pStyle w:val="TableContents"/>
              <w:bidi w:val="0"/>
              <w:spacing w:before="0" w:after="283"/>
              <w:jc w:val="right"/>
              <w:rPr/>
            </w:pPr>
            <w:r>
              <w:rPr>
                <w:strike/>
                <w:color w:val="FF0000"/>
                <w:sz w:val="20"/>
              </w:rPr>
              <w:t>43</w:t>
            </w:r>
            <w:r>
              <w:rPr>
                <w:color w:val="0000FF"/>
                <w:u w:val="single"/>
              </w:rPr>
              <w:t>60</w:t>
            </w:r>
          </w:p>
        </w:tc>
      </w:tr>
      <w:tr>
        <w:trPr/>
        <w:tc>
          <w:tcPr>
            <w:tcW w:w="455" w:type="dxa"/>
            <w:tcBorders/>
            <w:vAlign w:val="center"/>
          </w:tcPr>
          <w:p>
            <w:pPr>
              <w:pStyle w:val="TableContents"/>
              <w:bidi w:val="0"/>
              <w:spacing w:before="0" w:after="283"/>
              <w:jc w:val="left"/>
              <w:rPr>
                <w:sz w:val="20"/>
              </w:rPr>
            </w:pPr>
            <w:r>
              <w:rPr>
                <w:sz w:val="20"/>
              </w:rPr>
              <w:t>2.22</w:t>
            </w:r>
          </w:p>
        </w:tc>
        <w:tc>
          <w:tcPr>
            <w:tcW w:w="9235" w:type="dxa"/>
            <w:tcBorders/>
            <w:vAlign w:val="center"/>
          </w:tcPr>
          <w:p>
            <w:pPr>
              <w:pStyle w:val="TableContents"/>
              <w:bidi w:val="0"/>
              <w:spacing w:before="0" w:after="283"/>
              <w:jc w:val="left"/>
              <w:rPr>
                <w:sz w:val="20"/>
              </w:rPr>
            </w:pPr>
            <w:r>
              <w:rPr>
                <w:sz w:val="20"/>
              </w:rPr>
              <w:t>Defaulting Lenders</w:t>
            </w:r>
          </w:p>
        </w:tc>
        <w:tc>
          <w:tcPr>
            <w:tcW w:w="515" w:type="dxa"/>
            <w:tcBorders/>
            <w:vAlign w:val="center"/>
          </w:tcPr>
          <w:p>
            <w:pPr>
              <w:pStyle w:val="TableContents"/>
              <w:bidi w:val="0"/>
              <w:spacing w:before="0" w:after="283"/>
              <w:jc w:val="right"/>
              <w:rPr/>
            </w:pPr>
            <w:r>
              <w:rPr>
                <w:strike/>
                <w:color w:val="FF0000"/>
                <w:sz w:val="20"/>
              </w:rPr>
              <w:t>43</w:t>
            </w:r>
            <w:r>
              <w:rPr>
                <w:color w:val="0000FF"/>
                <w:u w:val="single"/>
              </w:rPr>
              <w:t>60</w:t>
            </w:r>
          </w:p>
        </w:tc>
      </w:tr>
      <w:tr>
        <w:trPr/>
        <w:tc>
          <w:tcPr>
            <w:tcW w:w="455" w:type="dxa"/>
            <w:tcBorders/>
            <w:vAlign w:val="center"/>
          </w:tcPr>
          <w:p>
            <w:pPr>
              <w:pStyle w:val="TableContents"/>
              <w:bidi w:val="0"/>
              <w:spacing w:before="0" w:after="283"/>
              <w:jc w:val="left"/>
              <w:rPr>
                <w:sz w:val="20"/>
              </w:rPr>
            </w:pPr>
            <w:r>
              <w:rPr>
                <w:sz w:val="20"/>
              </w:rPr>
              <w:t>2.23</w:t>
            </w:r>
          </w:p>
        </w:tc>
        <w:tc>
          <w:tcPr>
            <w:tcW w:w="9235" w:type="dxa"/>
            <w:tcBorders/>
            <w:vAlign w:val="center"/>
          </w:tcPr>
          <w:p>
            <w:pPr>
              <w:pStyle w:val="TableContents"/>
              <w:bidi w:val="0"/>
              <w:spacing w:before="0" w:after="283"/>
              <w:jc w:val="left"/>
              <w:rPr>
                <w:sz w:val="20"/>
              </w:rPr>
            </w:pPr>
            <w:r>
              <w:rPr>
                <w:sz w:val="20"/>
              </w:rPr>
              <w:t>Pro Rata Treatment and Payments</w:t>
            </w:r>
          </w:p>
        </w:tc>
        <w:tc>
          <w:tcPr>
            <w:tcW w:w="515" w:type="dxa"/>
            <w:tcBorders/>
            <w:vAlign w:val="center"/>
          </w:tcPr>
          <w:p>
            <w:pPr>
              <w:pStyle w:val="TableContents"/>
              <w:bidi w:val="0"/>
              <w:spacing w:before="0" w:after="283"/>
              <w:jc w:val="right"/>
              <w:rPr/>
            </w:pPr>
            <w:r>
              <w:rPr>
                <w:strike/>
                <w:color w:val="FF0000"/>
                <w:sz w:val="20"/>
              </w:rPr>
              <w:t>45</w:t>
            </w:r>
            <w:r>
              <w:rPr>
                <w:color w:val="0000FF"/>
                <w:u w:val="single"/>
              </w:rPr>
              <w:t>63</w:t>
            </w:r>
          </w:p>
        </w:tc>
      </w:tr>
      <w:tr>
        <w:trPr/>
        <w:tc>
          <w:tcPr>
            <w:tcW w:w="455" w:type="dxa"/>
            <w:tcBorders/>
            <w:vAlign w:val="center"/>
          </w:tcPr>
          <w:p>
            <w:pPr>
              <w:pStyle w:val="TableContents"/>
              <w:bidi w:val="0"/>
              <w:spacing w:before="0" w:after="283"/>
              <w:jc w:val="left"/>
              <w:rPr>
                <w:sz w:val="20"/>
              </w:rPr>
            </w:pPr>
            <w:r>
              <w:rPr>
                <w:sz w:val="20"/>
              </w:rPr>
              <w:t>2.24</w:t>
            </w:r>
          </w:p>
        </w:tc>
        <w:tc>
          <w:tcPr>
            <w:tcW w:w="9235" w:type="dxa"/>
            <w:tcBorders/>
            <w:vAlign w:val="center"/>
          </w:tcPr>
          <w:p>
            <w:pPr>
              <w:pStyle w:val="TableContents"/>
              <w:bidi w:val="0"/>
              <w:spacing w:before="0" w:after="283"/>
              <w:jc w:val="left"/>
              <w:rPr/>
            </w:pPr>
            <w:r>
              <w:rPr>
                <w:strike/>
                <w:color w:val="FF0000"/>
                <w:sz w:val="20"/>
              </w:rPr>
              <w:t>Incremental</w:t>
            </w:r>
            <w:r>
              <w:rPr>
                <w:color w:val="0000FF"/>
                <w:u w:val="single"/>
              </w:rPr>
              <w:t>Revolving</w:t>
            </w:r>
            <w:r>
              <w:rPr/>
              <w:t xml:space="preserve"> </w:t>
            </w:r>
            <w:r>
              <w:rPr>
                <w:sz w:val="20"/>
              </w:rPr>
              <w:t>Facility</w:t>
            </w:r>
            <w:r>
              <w:rPr>
                <w:color w:val="0000FF"/>
                <w:sz w:val="20"/>
                <w:u w:val="single"/>
              </w:rPr>
              <w:t>Increases; Incremental Term Loans</w:t>
            </w:r>
          </w:p>
        </w:tc>
        <w:tc>
          <w:tcPr>
            <w:tcW w:w="515" w:type="dxa"/>
            <w:tcBorders/>
            <w:vAlign w:val="center"/>
          </w:tcPr>
          <w:p>
            <w:pPr>
              <w:pStyle w:val="TableContents"/>
              <w:bidi w:val="0"/>
              <w:spacing w:before="0" w:after="283"/>
              <w:jc w:val="right"/>
              <w:rPr/>
            </w:pPr>
            <w:r>
              <w:rPr>
                <w:strike/>
                <w:color w:val="FF0000"/>
                <w:sz w:val="20"/>
              </w:rPr>
              <w:t>47</w:t>
            </w:r>
            <w:r>
              <w:rPr>
                <w:color w:val="0000FF"/>
                <w:u w:val="single"/>
              </w:rPr>
              <w:t>65</w:t>
            </w:r>
          </w:p>
        </w:tc>
      </w:tr>
      <w:tr>
        <w:trPr/>
        <w:tc>
          <w:tcPr>
            <w:tcW w:w="455" w:type="dxa"/>
            <w:tcBorders/>
            <w:vAlign w:val="center"/>
          </w:tcPr>
          <w:p>
            <w:pPr>
              <w:pStyle w:val="TableContents"/>
              <w:bidi w:val="0"/>
              <w:spacing w:before="0" w:after="283"/>
              <w:jc w:val="left"/>
              <w:rPr>
                <w:sz w:val="20"/>
              </w:rPr>
            </w:pPr>
            <w:r>
              <w:rPr>
                <w:sz w:val="20"/>
              </w:rPr>
              <w:t>2.25</w:t>
            </w:r>
          </w:p>
        </w:tc>
        <w:tc>
          <w:tcPr>
            <w:tcW w:w="9235" w:type="dxa"/>
            <w:tcBorders/>
            <w:vAlign w:val="center"/>
          </w:tcPr>
          <w:p>
            <w:pPr>
              <w:pStyle w:val="TableContents"/>
              <w:bidi w:val="0"/>
              <w:spacing w:before="0" w:after="283"/>
              <w:jc w:val="left"/>
              <w:rPr>
                <w:sz w:val="20"/>
              </w:rPr>
            </w:pPr>
            <w:r>
              <w:rPr>
                <w:sz w:val="20"/>
              </w:rPr>
              <w:t>Term SOFR Conforming Changes</w:t>
            </w:r>
          </w:p>
        </w:tc>
        <w:tc>
          <w:tcPr>
            <w:tcW w:w="515" w:type="dxa"/>
            <w:tcBorders/>
            <w:vAlign w:val="center"/>
          </w:tcPr>
          <w:p>
            <w:pPr>
              <w:pStyle w:val="TableContents"/>
              <w:bidi w:val="0"/>
              <w:spacing w:before="0" w:after="283"/>
              <w:jc w:val="right"/>
              <w:rPr/>
            </w:pPr>
            <w:r>
              <w:rPr>
                <w:strike/>
                <w:color w:val="FF0000"/>
                <w:sz w:val="20"/>
              </w:rPr>
              <w:t>48</w:t>
            </w:r>
            <w:r>
              <w:rPr>
                <w:color w:val="0000FF"/>
                <w:u w:val="single"/>
              </w:rPr>
              <w:t>69</w:t>
            </w:r>
          </w:p>
        </w:tc>
      </w:tr>
      <w:tr>
        <w:trPr/>
        <w:tc>
          <w:tcPr>
            <w:tcW w:w="455" w:type="dxa"/>
            <w:tcBorders/>
            <w:vAlign w:val="center"/>
          </w:tcPr>
          <w:p>
            <w:pPr>
              <w:pStyle w:val="TableContents"/>
              <w:bidi w:val="0"/>
              <w:spacing w:before="0" w:after="283"/>
              <w:jc w:val="left"/>
              <w:rPr>
                <w:color w:val="0000FF"/>
                <w:u w:val="single"/>
              </w:rPr>
            </w:pPr>
            <w:r>
              <w:rPr>
                <w:color w:val="0000FF"/>
                <w:u w:val="single"/>
              </w:rPr>
              <w:t>2.26</w:t>
            </w:r>
          </w:p>
        </w:tc>
        <w:tc>
          <w:tcPr>
            <w:tcW w:w="9235" w:type="dxa"/>
            <w:tcBorders/>
            <w:vAlign w:val="center"/>
          </w:tcPr>
          <w:p>
            <w:pPr>
              <w:pStyle w:val="TableContents"/>
              <w:bidi w:val="0"/>
              <w:spacing w:before="0" w:after="283"/>
              <w:jc w:val="left"/>
              <w:rPr>
                <w:color w:val="0000FF"/>
                <w:u w:val="single"/>
              </w:rPr>
            </w:pPr>
            <w:r>
              <w:rPr>
                <w:color w:val="0000FF"/>
                <w:u w:val="single"/>
              </w:rPr>
              <w:t>Joint and Several Liability</w:t>
            </w:r>
          </w:p>
        </w:tc>
        <w:tc>
          <w:tcPr>
            <w:tcW w:w="515" w:type="dxa"/>
            <w:tcBorders/>
            <w:vAlign w:val="center"/>
          </w:tcPr>
          <w:p>
            <w:pPr>
              <w:pStyle w:val="TableContents"/>
              <w:bidi w:val="0"/>
              <w:spacing w:before="0" w:after="283"/>
              <w:jc w:val="right"/>
              <w:rPr>
                <w:color w:val="0000FF"/>
                <w:u w:val="single"/>
              </w:rPr>
            </w:pPr>
            <w:r>
              <w:rPr>
                <w:color w:val="0000FF"/>
                <w:u w:val="single"/>
              </w:rPr>
              <w:t>69</w:t>
            </w:r>
          </w:p>
        </w:tc>
      </w:tr>
      <w:tr>
        <w:trPr/>
        <w:tc>
          <w:tcPr>
            <w:tcW w:w="455"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690" w:type="dxa"/>
            <w:gridSpan w:val="2"/>
            <w:tcBorders/>
            <w:vAlign w:val="center"/>
          </w:tcPr>
          <w:p>
            <w:pPr>
              <w:pStyle w:val="TableContents"/>
              <w:bidi w:val="0"/>
              <w:spacing w:before="0" w:after="283"/>
              <w:jc w:val="left"/>
              <w:rPr>
                <w:b/>
                <w:caps/>
                <w:sz w:val="20"/>
              </w:rPr>
            </w:pPr>
            <w:r>
              <w:rPr>
                <w:b/>
                <w:caps/>
                <w:sz w:val="20"/>
              </w:rPr>
              <w:t>Article III. YIELD PROTECTION; TAXES</w:t>
            </w:r>
          </w:p>
        </w:tc>
        <w:tc>
          <w:tcPr>
            <w:tcW w:w="515" w:type="dxa"/>
            <w:tcBorders/>
            <w:vAlign w:val="center"/>
          </w:tcPr>
          <w:p>
            <w:pPr>
              <w:pStyle w:val="TableContents"/>
              <w:bidi w:val="0"/>
              <w:spacing w:before="0" w:after="283"/>
              <w:jc w:val="right"/>
              <w:rPr/>
            </w:pPr>
            <w:r>
              <w:rPr>
                <w:b/>
                <w:caps/>
                <w:strike/>
                <w:color w:val="FF0000"/>
                <w:sz w:val="20"/>
              </w:rPr>
              <w:t>48</w:t>
            </w:r>
            <w:r>
              <w:rPr>
                <w:b/>
                <w:color w:val="0000FF"/>
                <w:u w:val="single"/>
              </w:rPr>
              <w:t>69</w:t>
            </w:r>
          </w:p>
        </w:tc>
      </w:tr>
      <w:tr>
        <w:trPr/>
        <w:tc>
          <w:tcPr>
            <w:tcW w:w="455" w:type="dxa"/>
            <w:tcBorders/>
            <w:vAlign w:val="center"/>
          </w:tcPr>
          <w:p>
            <w:pPr>
              <w:pStyle w:val="TableContents"/>
              <w:bidi w:val="0"/>
              <w:spacing w:before="0" w:after="283"/>
              <w:jc w:val="left"/>
              <w:rPr>
                <w:sz w:val="20"/>
              </w:rPr>
            </w:pPr>
            <w:r>
              <w:rPr>
                <w:sz w:val="20"/>
              </w:rPr>
              <w:t>3.1</w:t>
            </w:r>
          </w:p>
        </w:tc>
        <w:tc>
          <w:tcPr>
            <w:tcW w:w="9235" w:type="dxa"/>
            <w:tcBorders/>
            <w:vAlign w:val="center"/>
          </w:tcPr>
          <w:p>
            <w:pPr>
              <w:pStyle w:val="TableContents"/>
              <w:bidi w:val="0"/>
              <w:spacing w:before="0" w:after="283"/>
              <w:jc w:val="left"/>
              <w:rPr>
                <w:sz w:val="20"/>
              </w:rPr>
            </w:pPr>
            <w:r>
              <w:rPr>
                <w:sz w:val="20"/>
              </w:rPr>
              <w:t>Yield Protection</w:t>
            </w:r>
          </w:p>
        </w:tc>
        <w:tc>
          <w:tcPr>
            <w:tcW w:w="515" w:type="dxa"/>
            <w:tcBorders/>
            <w:vAlign w:val="center"/>
          </w:tcPr>
          <w:p>
            <w:pPr>
              <w:pStyle w:val="TableContents"/>
              <w:bidi w:val="0"/>
              <w:spacing w:before="0" w:after="283"/>
              <w:jc w:val="right"/>
              <w:rPr/>
            </w:pPr>
            <w:r>
              <w:rPr>
                <w:strike/>
                <w:color w:val="FF0000"/>
                <w:sz w:val="20"/>
              </w:rPr>
              <w:t>48</w:t>
            </w:r>
            <w:r>
              <w:rPr>
                <w:color w:val="0000FF"/>
                <w:u w:val="single"/>
              </w:rPr>
              <w:t>69</w:t>
            </w:r>
          </w:p>
        </w:tc>
      </w:tr>
      <w:tr>
        <w:trPr/>
        <w:tc>
          <w:tcPr>
            <w:tcW w:w="455" w:type="dxa"/>
            <w:tcBorders/>
            <w:vAlign w:val="center"/>
          </w:tcPr>
          <w:p>
            <w:pPr>
              <w:pStyle w:val="TableContents"/>
              <w:bidi w:val="0"/>
              <w:spacing w:before="0" w:after="283"/>
              <w:jc w:val="left"/>
              <w:rPr>
                <w:sz w:val="20"/>
              </w:rPr>
            </w:pPr>
            <w:r>
              <w:rPr>
                <w:sz w:val="20"/>
              </w:rPr>
              <w:t>3.2</w:t>
            </w:r>
          </w:p>
        </w:tc>
        <w:tc>
          <w:tcPr>
            <w:tcW w:w="9235" w:type="dxa"/>
            <w:tcBorders/>
            <w:vAlign w:val="center"/>
          </w:tcPr>
          <w:p>
            <w:pPr>
              <w:pStyle w:val="TableContents"/>
              <w:bidi w:val="0"/>
              <w:spacing w:before="0" w:after="283"/>
              <w:jc w:val="left"/>
              <w:rPr>
                <w:sz w:val="20"/>
              </w:rPr>
            </w:pPr>
            <w:r>
              <w:rPr>
                <w:sz w:val="20"/>
              </w:rPr>
              <w:t>Changes in Capital Adequacy Regulations</w:t>
            </w:r>
          </w:p>
        </w:tc>
        <w:tc>
          <w:tcPr>
            <w:tcW w:w="515" w:type="dxa"/>
            <w:tcBorders/>
            <w:vAlign w:val="center"/>
          </w:tcPr>
          <w:p>
            <w:pPr>
              <w:pStyle w:val="TableContents"/>
              <w:bidi w:val="0"/>
              <w:spacing w:before="0" w:after="283"/>
              <w:jc w:val="right"/>
              <w:rPr/>
            </w:pPr>
            <w:r>
              <w:rPr>
                <w:strike/>
                <w:color w:val="FF0000"/>
                <w:sz w:val="20"/>
              </w:rPr>
              <w:t>49</w:t>
            </w:r>
            <w:r>
              <w:rPr>
                <w:color w:val="0000FF"/>
                <w:u w:val="single"/>
              </w:rPr>
              <w:t>70</w:t>
            </w:r>
          </w:p>
        </w:tc>
      </w:tr>
      <w:tr>
        <w:trPr/>
        <w:tc>
          <w:tcPr>
            <w:tcW w:w="455" w:type="dxa"/>
            <w:tcBorders/>
            <w:vAlign w:val="center"/>
          </w:tcPr>
          <w:p>
            <w:pPr>
              <w:pStyle w:val="TableContents"/>
              <w:bidi w:val="0"/>
              <w:spacing w:before="0" w:after="283"/>
              <w:jc w:val="left"/>
              <w:rPr>
                <w:sz w:val="20"/>
              </w:rPr>
            </w:pPr>
            <w:r>
              <w:rPr>
                <w:sz w:val="20"/>
              </w:rPr>
              <w:t>3.3</w:t>
            </w:r>
          </w:p>
        </w:tc>
        <w:tc>
          <w:tcPr>
            <w:tcW w:w="9235" w:type="dxa"/>
            <w:tcBorders/>
            <w:vAlign w:val="center"/>
          </w:tcPr>
          <w:p>
            <w:pPr>
              <w:pStyle w:val="TableContents"/>
              <w:bidi w:val="0"/>
              <w:spacing w:before="0" w:after="283"/>
              <w:jc w:val="left"/>
              <w:rPr>
                <w:sz w:val="20"/>
              </w:rPr>
            </w:pPr>
            <w:r>
              <w:rPr>
                <w:sz w:val="20"/>
              </w:rPr>
              <w:t>[Reserved]</w:t>
            </w:r>
          </w:p>
        </w:tc>
        <w:tc>
          <w:tcPr>
            <w:tcW w:w="515" w:type="dxa"/>
            <w:tcBorders/>
            <w:vAlign w:val="center"/>
          </w:tcPr>
          <w:p>
            <w:pPr>
              <w:pStyle w:val="TableContents"/>
              <w:bidi w:val="0"/>
              <w:spacing w:before="0" w:after="283"/>
              <w:jc w:val="right"/>
              <w:rPr/>
            </w:pPr>
            <w:r>
              <w:rPr>
                <w:strike/>
                <w:color w:val="FF0000"/>
                <w:sz w:val="20"/>
              </w:rPr>
              <w:t>49</w:t>
            </w:r>
            <w:r>
              <w:rPr>
                <w:color w:val="0000FF"/>
                <w:u w:val="single"/>
              </w:rPr>
              <w:t>70</w:t>
            </w:r>
          </w:p>
        </w:tc>
      </w:tr>
      <w:tr>
        <w:trPr/>
        <w:tc>
          <w:tcPr>
            <w:tcW w:w="455" w:type="dxa"/>
            <w:tcBorders/>
            <w:vAlign w:val="center"/>
          </w:tcPr>
          <w:p>
            <w:pPr>
              <w:pStyle w:val="TableContents"/>
              <w:bidi w:val="0"/>
              <w:spacing w:before="0" w:after="283"/>
              <w:jc w:val="left"/>
              <w:rPr>
                <w:sz w:val="20"/>
              </w:rPr>
            </w:pPr>
            <w:r>
              <w:rPr>
                <w:sz w:val="20"/>
              </w:rPr>
              <w:t>3.4</w:t>
            </w:r>
          </w:p>
        </w:tc>
        <w:tc>
          <w:tcPr>
            <w:tcW w:w="9235" w:type="dxa"/>
            <w:tcBorders/>
            <w:vAlign w:val="center"/>
          </w:tcPr>
          <w:p>
            <w:pPr>
              <w:pStyle w:val="TableContents"/>
              <w:bidi w:val="0"/>
              <w:spacing w:before="0" w:after="283"/>
              <w:jc w:val="left"/>
              <w:rPr>
                <w:sz w:val="20"/>
              </w:rPr>
            </w:pPr>
            <w:r>
              <w:rPr>
                <w:sz w:val="20"/>
              </w:rPr>
              <w:t>Funding Indemnification</w:t>
            </w:r>
          </w:p>
        </w:tc>
        <w:tc>
          <w:tcPr>
            <w:tcW w:w="515" w:type="dxa"/>
            <w:tcBorders/>
            <w:vAlign w:val="center"/>
          </w:tcPr>
          <w:p>
            <w:pPr>
              <w:pStyle w:val="TableContents"/>
              <w:bidi w:val="0"/>
              <w:spacing w:before="0" w:after="283"/>
              <w:jc w:val="right"/>
              <w:rPr/>
            </w:pPr>
            <w:r>
              <w:rPr>
                <w:strike/>
                <w:color w:val="FF0000"/>
                <w:sz w:val="20"/>
              </w:rPr>
              <w:t>49</w:t>
            </w:r>
            <w:r>
              <w:rPr>
                <w:color w:val="0000FF"/>
                <w:u w:val="single"/>
              </w:rPr>
              <w:t>70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94" w:type="dxa"/>
        <w:jc w:val="left"/>
        <w:tblInd w:w="0" w:type="dxa"/>
        <w:tblLayout w:type="fixed"/>
        <w:tblCellMar>
          <w:top w:w="0" w:type="dxa"/>
          <w:left w:w="0" w:type="dxa"/>
          <w:bottom w:w="0" w:type="dxa"/>
          <w:right w:w="0" w:type="dxa"/>
        </w:tblCellMar>
      </w:tblPr>
      <w:tblGrid>
        <w:gridCol w:w="475"/>
        <w:gridCol w:w="4434"/>
        <w:gridCol w:w="485"/>
      </w:tblGrid>
      <w:tr>
        <w:trPr/>
        <w:tc>
          <w:tcPr>
            <w:tcW w:w="475" w:type="dxa"/>
            <w:tcBorders/>
            <w:vAlign w:val="center"/>
          </w:tcPr>
          <w:p>
            <w:pPr>
              <w:pStyle w:val="TableContents"/>
              <w:bidi w:val="0"/>
              <w:spacing w:before="0" w:after="283"/>
              <w:jc w:val="left"/>
              <w:rPr>
                <w:sz w:val="20"/>
              </w:rPr>
            </w:pPr>
            <w:r>
              <w:rPr>
                <w:sz w:val="20"/>
              </w:rPr>
              <w:t>3.5</w:t>
            </w:r>
          </w:p>
        </w:tc>
        <w:tc>
          <w:tcPr>
            <w:tcW w:w="4434" w:type="dxa"/>
            <w:tcBorders/>
            <w:vAlign w:val="center"/>
          </w:tcPr>
          <w:p>
            <w:pPr>
              <w:pStyle w:val="TableContents"/>
              <w:bidi w:val="0"/>
              <w:spacing w:before="0" w:after="283"/>
              <w:jc w:val="left"/>
              <w:rPr>
                <w:sz w:val="20"/>
              </w:rPr>
            </w:pPr>
            <w:r>
              <w:rPr>
                <w:sz w:val="20"/>
              </w:rPr>
              <w:t>Taxes</w:t>
            </w:r>
          </w:p>
        </w:tc>
        <w:tc>
          <w:tcPr>
            <w:tcW w:w="485" w:type="dxa"/>
            <w:tcBorders/>
            <w:vAlign w:val="center"/>
          </w:tcPr>
          <w:p>
            <w:pPr>
              <w:pStyle w:val="TableContents"/>
              <w:bidi w:val="0"/>
              <w:spacing w:before="0" w:after="283"/>
              <w:jc w:val="right"/>
              <w:rPr/>
            </w:pPr>
            <w:r>
              <w:rPr>
                <w:strike/>
                <w:color w:val="FF0000"/>
                <w:sz w:val="20"/>
              </w:rPr>
              <w:t>50</w:t>
            </w:r>
            <w:r>
              <w:rPr>
                <w:color w:val="0000FF"/>
                <w:u w:val="single"/>
              </w:rPr>
              <w:t>70</w:t>
            </w:r>
          </w:p>
        </w:tc>
      </w:tr>
      <w:tr>
        <w:trPr/>
        <w:tc>
          <w:tcPr>
            <w:tcW w:w="475" w:type="dxa"/>
            <w:tcBorders/>
            <w:vAlign w:val="center"/>
          </w:tcPr>
          <w:p>
            <w:pPr>
              <w:pStyle w:val="TableContents"/>
              <w:bidi w:val="0"/>
              <w:spacing w:before="0" w:after="283"/>
              <w:jc w:val="left"/>
              <w:rPr>
                <w:sz w:val="20"/>
              </w:rPr>
            </w:pPr>
            <w:r>
              <w:rPr>
                <w:sz w:val="20"/>
              </w:rPr>
              <w:t>3.6</w:t>
            </w:r>
          </w:p>
        </w:tc>
        <w:tc>
          <w:tcPr>
            <w:tcW w:w="4434" w:type="dxa"/>
            <w:tcBorders/>
            <w:vAlign w:val="center"/>
          </w:tcPr>
          <w:p>
            <w:pPr>
              <w:pStyle w:val="TableContents"/>
              <w:bidi w:val="0"/>
              <w:spacing w:before="0" w:after="283"/>
              <w:jc w:val="left"/>
              <w:rPr>
                <w:sz w:val="20"/>
              </w:rPr>
            </w:pPr>
            <w:r>
              <w:rPr>
                <w:sz w:val="20"/>
              </w:rPr>
              <w:t>Changed Circumstances</w:t>
            </w:r>
          </w:p>
        </w:tc>
        <w:tc>
          <w:tcPr>
            <w:tcW w:w="485" w:type="dxa"/>
            <w:tcBorders/>
            <w:vAlign w:val="center"/>
          </w:tcPr>
          <w:p>
            <w:pPr>
              <w:pStyle w:val="TableContents"/>
              <w:bidi w:val="0"/>
              <w:spacing w:before="0" w:after="283"/>
              <w:jc w:val="right"/>
              <w:rPr/>
            </w:pPr>
            <w:r>
              <w:rPr>
                <w:strike/>
                <w:color w:val="FF0000"/>
                <w:sz w:val="20"/>
              </w:rPr>
              <w:t>53</w:t>
            </w:r>
            <w:r>
              <w:rPr>
                <w:color w:val="0000FF"/>
                <w:u w:val="single"/>
              </w:rPr>
              <w:t>77</w:t>
            </w:r>
          </w:p>
        </w:tc>
      </w:tr>
      <w:tr>
        <w:trPr/>
        <w:tc>
          <w:tcPr>
            <w:tcW w:w="475" w:type="dxa"/>
            <w:tcBorders/>
            <w:vAlign w:val="center"/>
          </w:tcPr>
          <w:p>
            <w:pPr>
              <w:pStyle w:val="TableContents"/>
              <w:bidi w:val="0"/>
              <w:spacing w:before="0" w:after="283"/>
              <w:jc w:val="left"/>
              <w:rPr>
                <w:sz w:val="20"/>
              </w:rPr>
            </w:pPr>
            <w:r>
              <w:rPr>
                <w:sz w:val="20"/>
              </w:rPr>
              <w:t>3.7</w:t>
            </w:r>
          </w:p>
        </w:tc>
        <w:tc>
          <w:tcPr>
            <w:tcW w:w="4434" w:type="dxa"/>
            <w:tcBorders/>
            <w:vAlign w:val="center"/>
          </w:tcPr>
          <w:p>
            <w:pPr>
              <w:pStyle w:val="TableContents"/>
              <w:bidi w:val="0"/>
              <w:spacing w:before="0" w:after="283"/>
              <w:jc w:val="left"/>
              <w:rPr>
                <w:sz w:val="20"/>
              </w:rPr>
            </w:pPr>
            <w:r>
              <w:rPr>
                <w:sz w:val="20"/>
              </w:rPr>
              <w:t>Illegality</w:t>
            </w:r>
          </w:p>
        </w:tc>
        <w:tc>
          <w:tcPr>
            <w:tcW w:w="485" w:type="dxa"/>
            <w:tcBorders/>
            <w:vAlign w:val="center"/>
          </w:tcPr>
          <w:p>
            <w:pPr>
              <w:pStyle w:val="TableContents"/>
              <w:bidi w:val="0"/>
              <w:spacing w:before="0" w:after="283"/>
              <w:jc w:val="right"/>
              <w:rPr/>
            </w:pPr>
            <w:r>
              <w:rPr>
                <w:strike/>
                <w:color w:val="FF0000"/>
                <w:sz w:val="20"/>
              </w:rPr>
              <w:t>55</w:t>
            </w:r>
            <w:r>
              <w:rPr>
                <w:color w:val="0000FF"/>
                <w:u w:val="single"/>
              </w:rPr>
              <w:t>80</w:t>
            </w:r>
          </w:p>
        </w:tc>
      </w:tr>
      <w:tr>
        <w:trPr/>
        <w:tc>
          <w:tcPr>
            <w:tcW w:w="475"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4909" w:type="dxa"/>
            <w:gridSpan w:val="2"/>
            <w:tcBorders/>
            <w:vAlign w:val="center"/>
          </w:tcPr>
          <w:p>
            <w:pPr>
              <w:pStyle w:val="TableContents"/>
              <w:bidi w:val="0"/>
              <w:spacing w:before="0" w:after="283"/>
              <w:jc w:val="left"/>
              <w:rPr>
                <w:b/>
                <w:caps/>
                <w:sz w:val="20"/>
              </w:rPr>
            </w:pPr>
            <w:r>
              <w:rPr>
                <w:b/>
                <w:caps/>
                <w:sz w:val="20"/>
              </w:rPr>
              <w:t>Article IV. CONDITIONS PRECEDENT</w:t>
            </w:r>
          </w:p>
        </w:tc>
        <w:tc>
          <w:tcPr>
            <w:tcW w:w="485" w:type="dxa"/>
            <w:tcBorders/>
            <w:vAlign w:val="center"/>
          </w:tcPr>
          <w:p>
            <w:pPr>
              <w:pStyle w:val="TableContents"/>
              <w:bidi w:val="0"/>
              <w:spacing w:before="0" w:after="283"/>
              <w:jc w:val="right"/>
              <w:rPr/>
            </w:pPr>
            <w:r>
              <w:rPr>
                <w:b/>
                <w:caps/>
                <w:strike/>
                <w:color w:val="FF0000"/>
                <w:sz w:val="20"/>
              </w:rPr>
              <w:t>55</w:t>
            </w:r>
            <w:r>
              <w:rPr>
                <w:b/>
                <w:color w:val="0000FF"/>
                <w:u w:val="single"/>
              </w:rPr>
              <w:t>80</w:t>
            </w:r>
          </w:p>
        </w:tc>
      </w:tr>
      <w:tr>
        <w:trPr/>
        <w:tc>
          <w:tcPr>
            <w:tcW w:w="475" w:type="dxa"/>
            <w:tcBorders/>
            <w:vAlign w:val="center"/>
          </w:tcPr>
          <w:p>
            <w:pPr>
              <w:pStyle w:val="TableContents"/>
              <w:bidi w:val="0"/>
              <w:spacing w:before="0" w:after="283"/>
              <w:jc w:val="left"/>
              <w:rPr>
                <w:sz w:val="20"/>
              </w:rPr>
            </w:pPr>
            <w:r>
              <w:rPr>
                <w:sz w:val="20"/>
              </w:rPr>
              <w:t>4.1</w:t>
            </w:r>
          </w:p>
        </w:tc>
        <w:tc>
          <w:tcPr>
            <w:tcW w:w="4434" w:type="dxa"/>
            <w:tcBorders/>
            <w:vAlign w:val="center"/>
          </w:tcPr>
          <w:p>
            <w:pPr>
              <w:pStyle w:val="TableContents"/>
              <w:bidi w:val="0"/>
              <w:spacing w:before="0" w:after="283"/>
              <w:jc w:val="left"/>
              <w:rPr>
                <w:sz w:val="20"/>
              </w:rPr>
            </w:pPr>
            <w:r>
              <w:rPr>
                <w:sz w:val="20"/>
              </w:rPr>
              <w:t>Effective Date</w:t>
            </w:r>
          </w:p>
        </w:tc>
        <w:tc>
          <w:tcPr>
            <w:tcW w:w="485" w:type="dxa"/>
            <w:tcBorders/>
            <w:vAlign w:val="center"/>
          </w:tcPr>
          <w:p>
            <w:pPr>
              <w:pStyle w:val="TableContents"/>
              <w:bidi w:val="0"/>
              <w:spacing w:before="0" w:after="283"/>
              <w:jc w:val="right"/>
              <w:rPr/>
            </w:pPr>
            <w:r>
              <w:rPr>
                <w:strike/>
                <w:color w:val="FF0000"/>
                <w:sz w:val="20"/>
              </w:rPr>
              <w:t>55</w:t>
            </w:r>
            <w:r>
              <w:rPr>
                <w:color w:val="0000FF"/>
                <w:u w:val="single"/>
              </w:rPr>
              <w:t>80</w:t>
            </w:r>
          </w:p>
        </w:tc>
      </w:tr>
      <w:tr>
        <w:trPr/>
        <w:tc>
          <w:tcPr>
            <w:tcW w:w="475" w:type="dxa"/>
            <w:tcBorders/>
            <w:vAlign w:val="center"/>
          </w:tcPr>
          <w:p>
            <w:pPr>
              <w:pStyle w:val="TableContents"/>
              <w:bidi w:val="0"/>
              <w:spacing w:before="0" w:after="283"/>
              <w:jc w:val="left"/>
              <w:rPr>
                <w:sz w:val="20"/>
              </w:rPr>
            </w:pPr>
            <w:r>
              <w:rPr>
                <w:sz w:val="20"/>
              </w:rPr>
              <w:t>4.2</w:t>
            </w:r>
          </w:p>
        </w:tc>
        <w:tc>
          <w:tcPr>
            <w:tcW w:w="4434" w:type="dxa"/>
            <w:tcBorders/>
            <w:vAlign w:val="center"/>
          </w:tcPr>
          <w:p>
            <w:pPr>
              <w:pStyle w:val="TableContents"/>
              <w:bidi w:val="0"/>
              <w:spacing w:before="0" w:after="283"/>
              <w:jc w:val="left"/>
              <w:rPr>
                <w:sz w:val="20"/>
              </w:rPr>
            </w:pPr>
            <w:r>
              <w:rPr>
                <w:sz w:val="20"/>
              </w:rPr>
              <w:t>Initial Advance</w:t>
            </w:r>
          </w:p>
        </w:tc>
        <w:tc>
          <w:tcPr>
            <w:tcW w:w="485" w:type="dxa"/>
            <w:tcBorders/>
            <w:vAlign w:val="center"/>
          </w:tcPr>
          <w:p>
            <w:pPr>
              <w:pStyle w:val="TableContents"/>
              <w:bidi w:val="0"/>
              <w:spacing w:before="0" w:after="283"/>
              <w:jc w:val="right"/>
              <w:rPr/>
            </w:pPr>
            <w:r>
              <w:rPr>
                <w:strike/>
                <w:color w:val="FF0000"/>
                <w:sz w:val="20"/>
              </w:rPr>
              <w:t>56</w:t>
            </w:r>
            <w:r>
              <w:rPr>
                <w:color w:val="0000FF"/>
                <w:u w:val="single"/>
              </w:rPr>
              <w:t>80</w:t>
            </w:r>
          </w:p>
        </w:tc>
      </w:tr>
      <w:tr>
        <w:trPr/>
        <w:tc>
          <w:tcPr>
            <w:tcW w:w="475" w:type="dxa"/>
            <w:tcBorders/>
            <w:vAlign w:val="center"/>
          </w:tcPr>
          <w:p>
            <w:pPr>
              <w:pStyle w:val="TableContents"/>
              <w:bidi w:val="0"/>
              <w:spacing w:before="0" w:after="283"/>
              <w:jc w:val="left"/>
              <w:rPr>
                <w:sz w:val="20"/>
              </w:rPr>
            </w:pPr>
            <w:r>
              <w:rPr>
                <w:sz w:val="20"/>
              </w:rPr>
              <w:t>4.3</w:t>
            </w:r>
          </w:p>
        </w:tc>
        <w:tc>
          <w:tcPr>
            <w:tcW w:w="4434" w:type="dxa"/>
            <w:tcBorders/>
            <w:vAlign w:val="center"/>
          </w:tcPr>
          <w:p>
            <w:pPr>
              <w:pStyle w:val="TableContents"/>
              <w:bidi w:val="0"/>
              <w:spacing w:before="0" w:after="283"/>
              <w:jc w:val="left"/>
              <w:rPr>
                <w:sz w:val="20"/>
              </w:rPr>
            </w:pPr>
            <w:r>
              <w:rPr>
                <w:sz w:val="20"/>
              </w:rPr>
              <w:t>Each Advance</w:t>
            </w:r>
          </w:p>
        </w:tc>
        <w:tc>
          <w:tcPr>
            <w:tcW w:w="485" w:type="dxa"/>
            <w:tcBorders/>
            <w:vAlign w:val="center"/>
          </w:tcPr>
          <w:p>
            <w:pPr>
              <w:pStyle w:val="TableContents"/>
              <w:bidi w:val="0"/>
              <w:spacing w:before="0" w:after="283"/>
              <w:jc w:val="right"/>
              <w:rPr/>
            </w:pPr>
            <w:r>
              <w:rPr>
                <w:strike/>
                <w:color w:val="FF0000"/>
                <w:sz w:val="20"/>
              </w:rPr>
              <w:t>57</w:t>
            </w:r>
            <w:r>
              <w:rPr>
                <w:color w:val="0000FF"/>
                <w:u w:val="single"/>
              </w:rPr>
              <w:t>82</w:t>
            </w:r>
          </w:p>
        </w:tc>
      </w:tr>
      <w:tr>
        <w:trPr/>
        <w:tc>
          <w:tcPr>
            <w:tcW w:w="475"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4909" w:type="dxa"/>
            <w:gridSpan w:val="2"/>
            <w:tcBorders/>
            <w:vAlign w:val="center"/>
          </w:tcPr>
          <w:p>
            <w:pPr>
              <w:pStyle w:val="TableContents"/>
              <w:bidi w:val="0"/>
              <w:spacing w:before="0" w:after="283"/>
              <w:jc w:val="left"/>
              <w:rPr>
                <w:b/>
                <w:caps/>
                <w:sz w:val="20"/>
              </w:rPr>
            </w:pPr>
            <w:r>
              <w:rPr>
                <w:b/>
                <w:caps/>
                <w:sz w:val="20"/>
              </w:rPr>
              <w:t>Article V. REPRESENTATIONS AND WARRANTIES</w:t>
            </w:r>
          </w:p>
        </w:tc>
        <w:tc>
          <w:tcPr>
            <w:tcW w:w="485" w:type="dxa"/>
            <w:tcBorders/>
            <w:vAlign w:val="center"/>
          </w:tcPr>
          <w:p>
            <w:pPr>
              <w:pStyle w:val="TableContents"/>
              <w:bidi w:val="0"/>
              <w:spacing w:before="0" w:after="283"/>
              <w:jc w:val="right"/>
              <w:rPr/>
            </w:pPr>
            <w:r>
              <w:rPr>
                <w:b/>
                <w:caps/>
                <w:strike/>
                <w:color w:val="FF0000"/>
                <w:sz w:val="20"/>
              </w:rPr>
              <w:t>58</w:t>
            </w:r>
            <w:r>
              <w:rPr>
                <w:b/>
                <w:color w:val="0000FF"/>
                <w:u w:val="single"/>
              </w:rPr>
              <w:t>83</w:t>
            </w:r>
          </w:p>
        </w:tc>
      </w:tr>
      <w:tr>
        <w:trPr/>
        <w:tc>
          <w:tcPr>
            <w:tcW w:w="475" w:type="dxa"/>
            <w:tcBorders/>
            <w:vAlign w:val="center"/>
          </w:tcPr>
          <w:p>
            <w:pPr>
              <w:pStyle w:val="TableContents"/>
              <w:bidi w:val="0"/>
              <w:spacing w:before="0" w:after="283"/>
              <w:jc w:val="left"/>
              <w:rPr>
                <w:sz w:val="20"/>
              </w:rPr>
            </w:pPr>
            <w:r>
              <w:rPr>
                <w:sz w:val="20"/>
              </w:rPr>
              <w:t>5.1</w:t>
            </w:r>
          </w:p>
        </w:tc>
        <w:tc>
          <w:tcPr>
            <w:tcW w:w="4434" w:type="dxa"/>
            <w:tcBorders/>
            <w:vAlign w:val="center"/>
          </w:tcPr>
          <w:p>
            <w:pPr>
              <w:pStyle w:val="TableContents"/>
              <w:bidi w:val="0"/>
              <w:spacing w:before="0" w:after="283"/>
              <w:jc w:val="left"/>
              <w:rPr>
                <w:sz w:val="20"/>
              </w:rPr>
            </w:pPr>
            <w:r>
              <w:rPr>
                <w:sz w:val="20"/>
              </w:rPr>
              <w:t>Existence and Standing</w:t>
            </w:r>
          </w:p>
        </w:tc>
        <w:tc>
          <w:tcPr>
            <w:tcW w:w="485" w:type="dxa"/>
            <w:tcBorders/>
            <w:vAlign w:val="center"/>
          </w:tcPr>
          <w:p>
            <w:pPr>
              <w:pStyle w:val="TableContents"/>
              <w:bidi w:val="0"/>
              <w:spacing w:before="0" w:after="283"/>
              <w:jc w:val="right"/>
              <w:rPr/>
            </w:pPr>
            <w:r>
              <w:rPr>
                <w:strike/>
                <w:color w:val="FF0000"/>
                <w:sz w:val="20"/>
              </w:rPr>
              <w:t>58</w:t>
            </w:r>
            <w:r>
              <w:rPr>
                <w:color w:val="0000FF"/>
                <w:u w:val="single"/>
              </w:rPr>
              <w:t>83</w:t>
            </w:r>
          </w:p>
        </w:tc>
      </w:tr>
      <w:tr>
        <w:trPr/>
        <w:tc>
          <w:tcPr>
            <w:tcW w:w="475" w:type="dxa"/>
            <w:tcBorders/>
            <w:vAlign w:val="center"/>
          </w:tcPr>
          <w:p>
            <w:pPr>
              <w:pStyle w:val="TableContents"/>
              <w:bidi w:val="0"/>
              <w:spacing w:before="0" w:after="283"/>
              <w:jc w:val="left"/>
              <w:rPr>
                <w:sz w:val="20"/>
              </w:rPr>
            </w:pPr>
            <w:r>
              <w:rPr>
                <w:sz w:val="20"/>
              </w:rPr>
              <w:t>5.2</w:t>
            </w:r>
          </w:p>
        </w:tc>
        <w:tc>
          <w:tcPr>
            <w:tcW w:w="4434" w:type="dxa"/>
            <w:tcBorders/>
            <w:vAlign w:val="center"/>
          </w:tcPr>
          <w:p>
            <w:pPr>
              <w:pStyle w:val="TableContents"/>
              <w:bidi w:val="0"/>
              <w:spacing w:before="0" w:after="283"/>
              <w:jc w:val="left"/>
              <w:rPr>
                <w:sz w:val="20"/>
              </w:rPr>
            </w:pPr>
            <w:r>
              <w:rPr>
                <w:sz w:val="20"/>
              </w:rPr>
              <w:t>Authorization and Validity</w:t>
            </w:r>
          </w:p>
        </w:tc>
        <w:tc>
          <w:tcPr>
            <w:tcW w:w="485" w:type="dxa"/>
            <w:tcBorders/>
            <w:vAlign w:val="center"/>
          </w:tcPr>
          <w:p>
            <w:pPr>
              <w:pStyle w:val="TableContents"/>
              <w:bidi w:val="0"/>
              <w:spacing w:before="0" w:after="283"/>
              <w:jc w:val="right"/>
              <w:rPr/>
            </w:pPr>
            <w:r>
              <w:rPr>
                <w:strike/>
                <w:color w:val="FF0000"/>
                <w:sz w:val="20"/>
              </w:rPr>
              <w:t>58</w:t>
            </w:r>
            <w:r>
              <w:rPr>
                <w:color w:val="0000FF"/>
                <w:u w:val="single"/>
              </w:rPr>
              <w:t>83</w:t>
            </w:r>
          </w:p>
        </w:tc>
      </w:tr>
      <w:tr>
        <w:trPr/>
        <w:tc>
          <w:tcPr>
            <w:tcW w:w="475" w:type="dxa"/>
            <w:tcBorders/>
            <w:vAlign w:val="center"/>
          </w:tcPr>
          <w:p>
            <w:pPr>
              <w:pStyle w:val="TableContents"/>
              <w:bidi w:val="0"/>
              <w:spacing w:before="0" w:after="283"/>
              <w:jc w:val="left"/>
              <w:rPr>
                <w:sz w:val="20"/>
              </w:rPr>
            </w:pPr>
            <w:r>
              <w:rPr>
                <w:sz w:val="20"/>
              </w:rPr>
              <w:t>5.3</w:t>
            </w:r>
          </w:p>
        </w:tc>
        <w:tc>
          <w:tcPr>
            <w:tcW w:w="4434" w:type="dxa"/>
            <w:tcBorders/>
            <w:vAlign w:val="center"/>
          </w:tcPr>
          <w:p>
            <w:pPr>
              <w:pStyle w:val="TableContents"/>
              <w:bidi w:val="0"/>
              <w:spacing w:before="0" w:after="283"/>
              <w:jc w:val="left"/>
              <w:rPr>
                <w:sz w:val="20"/>
              </w:rPr>
            </w:pPr>
            <w:r>
              <w:rPr>
                <w:sz w:val="20"/>
              </w:rPr>
              <w:t>No Conflict; Government Consent</w:t>
            </w:r>
          </w:p>
        </w:tc>
        <w:tc>
          <w:tcPr>
            <w:tcW w:w="485" w:type="dxa"/>
            <w:tcBorders/>
            <w:vAlign w:val="center"/>
          </w:tcPr>
          <w:p>
            <w:pPr>
              <w:pStyle w:val="TableContents"/>
              <w:bidi w:val="0"/>
              <w:spacing w:before="0" w:after="283"/>
              <w:jc w:val="right"/>
              <w:rPr/>
            </w:pPr>
            <w:r>
              <w:rPr>
                <w:strike/>
                <w:color w:val="FF0000"/>
                <w:sz w:val="20"/>
              </w:rPr>
              <w:t>58</w:t>
            </w:r>
            <w:r>
              <w:rPr>
                <w:color w:val="0000FF"/>
                <w:u w:val="single"/>
              </w:rPr>
              <w:t>83</w:t>
            </w:r>
          </w:p>
        </w:tc>
      </w:tr>
      <w:tr>
        <w:trPr/>
        <w:tc>
          <w:tcPr>
            <w:tcW w:w="475" w:type="dxa"/>
            <w:tcBorders/>
            <w:vAlign w:val="center"/>
          </w:tcPr>
          <w:p>
            <w:pPr>
              <w:pStyle w:val="TableContents"/>
              <w:bidi w:val="0"/>
              <w:spacing w:before="0" w:after="283"/>
              <w:jc w:val="left"/>
              <w:rPr>
                <w:sz w:val="20"/>
              </w:rPr>
            </w:pPr>
            <w:r>
              <w:rPr>
                <w:sz w:val="20"/>
              </w:rPr>
              <w:t>5.4</w:t>
            </w:r>
          </w:p>
        </w:tc>
        <w:tc>
          <w:tcPr>
            <w:tcW w:w="4434" w:type="dxa"/>
            <w:tcBorders/>
            <w:vAlign w:val="center"/>
          </w:tcPr>
          <w:p>
            <w:pPr>
              <w:pStyle w:val="TableContents"/>
              <w:bidi w:val="0"/>
              <w:spacing w:before="0" w:after="283"/>
              <w:jc w:val="left"/>
              <w:rPr>
                <w:sz w:val="20"/>
              </w:rPr>
            </w:pPr>
            <w:r>
              <w:rPr>
                <w:sz w:val="20"/>
              </w:rPr>
              <w:t>Financial Statements</w:t>
            </w:r>
          </w:p>
        </w:tc>
        <w:tc>
          <w:tcPr>
            <w:tcW w:w="485" w:type="dxa"/>
            <w:tcBorders/>
            <w:vAlign w:val="center"/>
          </w:tcPr>
          <w:p>
            <w:pPr>
              <w:pStyle w:val="TableContents"/>
              <w:bidi w:val="0"/>
              <w:spacing w:before="0" w:after="283"/>
              <w:jc w:val="right"/>
              <w:rPr/>
            </w:pPr>
            <w:r>
              <w:rPr>
                <w:strike/>
                <w:color w:val="FF0000"/>
                <w:sz w:val="20"/>
              </w:rPr>
              <w:t>59</w:t>
            </w:r>
            <w:r>
              <w:rPr>
                <w:color w:val="0000FF"/>
                <w:u w:val="single"/>
              </w:rPr>
              <w:t>84</w:t>
            </w:r>
          </w:p>
        </w:tc>
      </w:tr>
      <w:tr>
        <w:trPr/>
        <w:tc>
          <w:tcPr>
            <w:tcW w:w="475" w:type="dxa"/>
            <w:tcBorders/>
            <w:vAlign w:val="center"/>
          </w:tcPr>
          <w:p>
            <w:pPr>
              <w:pStyle w:val="TableContents"/>
              <w:bidi w:val="0"/>
              <w:spacing w:before="0" w:after="283"/>
              <w:jc w:val="left"/>
              <w:rPr>
                <w:sz w:val="20"/>
              </w:rPr>
            </w:pPr>
            <w:r>
              <w:rPr>
                <w:sz w:val="20"/>
              </w:rPr>
              <w:t>5.5</w:t>
            </w:r>
          </w:p>
        </w:tc>
        <w:tc>
          <w:tcPr>
            <w:tcW w:w="4434" w:type="dxa"/>
            <w:tcBorders/>
            <w:vAlign w:val="center"/>
          </w:tcPr>
          <w:p>
            <w:pPr>
              <w:pStyle w:val="TableContents"/>
              <w:bidi w:val="0"/>
              <w:spacing w:before="0" w:after="283"/>
              <w:jc w:val="left"/>
              <w:rPr>
                <w:sz w:val="20"/>
              </w:rPr>
            </w:pPr>
            <w:r>
              <w:rPr>
                <w:sz w:val="20"/>
              </w:rPr>
              <w:t xml:space="preserve">Material Adverse </w:t>
            </w:r>
            <w:r>
              <w:rPr>
                <w:strike/>
                <w:color w:val="FF0000"/>
                <w:sz w:val="20"/>
              </w:rPr>
              <w:t>Change</w:t>
            </w:r>
            <w:r>
              <w:rPr>
                <w:color w:val="0000FF"/>
                <w:sz w:val="20"/>
                <w:u w:val="single"/>
              </w:rPr>
              <w:t>Effect</w:t>
            </w:r>
          </w:p>
        </w:tc>
        <w:tc>
          <w:tcPr>
            <w:tcW w:w="485" w:type="dxa"/>
            <w:tcBorders/>
            <w:vAlign w:val="center"/>
          </w:tcPr>
          <w:p>
            <w:pPr>
              <w:pStyle w:val="TableContents"/>
              <w:bidi w:val="0"/>
              <w:spacing w:before="0" w:after="283"/>
              <w:jc w:val="right"/>
              <w:rPr/>
            </w:pPr>
            <w:r>
              <w:rPr>
                <w:strike/>
                <w:color w:val="FF0000"/>
                <w:sz w:val="20"/>
              </w:rPr>
              <w:t>59</w:t>
            </w:r>
            <w:r>
              <w:rPr>
                <w:color w:val="0000FF"/>
                <w:u w:val="single"/>
              </w:rPr>
              <w:t>84</w:t>
            </w:r>
          </w:p>
        </w:tc>
      </w:tr>
      <w:tr>
        <w:trPr/>
        <w:tc>
          <w:tcPr>
            <w:tcW w:w="475" w:type="dxa"/>
            <w:tcBorders/>
            <w:vAlign w:val="center"/>
          </w:tcPr>
          <w:p>
            <w:pPr>
              <w:pStyle w:val="TableContents"/>
              <w:bidi w:val="0"/>
              <w:spacing w:before="0" w:after="283"/>
              <w:jc w:val="left"/>
              <w:rPr>
                <w:sz w:val="20"/>
              </w:rPr>
            </w:pPr>
            <w:r>
              <w:rPr>
                <w:sz w:val="20"/>
              </w:rPr>
              <w:t>5.6</w:t>
            </w:r>
          </w:p>
        </w:tc>
        <w:tc>
          <w:tcPr>
            <w:tcW w:w="4434" w:type="dxa"/>
            <w:tcBorders/>
            <w:vAlign w:val="center"/>
          </w:tcPr>
          <w:p>
            <w:pPr>
              <w:pStyle w:val="TableContents"/>
              <w:bidi w:val="0"/>
              <w:spacing w:before="0" w:after="283"/>
              <w:jc w:val="left"/>
              <w:rPr>
                <w:sz w:val="20"/>
              </w:rPr>
            </w:pPr>
            <w:r>
              <w:rPr>
                <w:sz w:val="20"/>
              </w:rPr>
              <w:t>Taxes</w:t>
            </w:r>
          </w:p>
        </w:tc>
        <w:tc>
          <w:tcPr>
            <w:tcW w:w="485" w:type="dxa"/>
            <w:tcBorders/>
            <w:vAlign w:val="center"/>
          </w:tcPr>
          <w:p>
            <w:pPr>
              <w:pStyle w:val="TableContents"/>
              <w:bidi w:val="0"/>
              <w:spacing w:before="0" w:after="283"/>
              <w:jc w:val="right"/>
              <w:rPr/>
            </w:pPr>
            <w:r>
              <w:rPr>
                <w:strike/>
                <w:color w:val="FF0000"/>
                <w:sz w:val="20"/>
              </w:rPr>
              <w:t>59</w:t>
            </w:r>
            <w:r>
              <w:rPr>
                <w:color w:val="0000FF"/>
                <w:u w:val="single"/>
              </w:rPr>
              <w:t>84</w:t>
            </w:r>
          </w:p>
        </w:tc>
      </w:tr>
      <w:tr>
        <w:trPr/>
        <w:tc>
          <w:tcPr>
            <w:tcW w:w="475" w:type="dxa"/>
            <w:tcBorders/>
            <w:vAlign w:val="center"/>
          </w:tcPr>
          <w:p>
            <w:pPr>
              <w:pStyle w:val="TableContents"/>
              <w:bidi w:val="0"/>
              <w:spacing w:before="0" w:after="283"/>
              <w:jc w:val="left"/>
              <w:rPr>
                <w:sz w:val="20"/>
              </w:rPr>
            </w:pPr>
            <w:r>
              <w:rPr>
                <w:sz w:val="20"/>
              </w:rPr>
              <w:t>5.7</w:t>
            </w:r>
          </w:p>
        </w:tc>
        <w:tc>
          <w:tcPr>
            <w:tcW w:w="4434" w:type="dxa"/>
            <w:tcBorders/>
            <w:vAlign w:val="center"/>
          </w:tcPr>
          <w:p>
            <w:pPr>
              <w:pStyle w:val="TableContents"/>
              <w:bidi w:val="0"/>
              <w:spacing w:before="0" w:after="283"/>
              <w:jc w:val="left"/>
              <w:rPr>
                <w:sz w:val="20"/>
              </w:rPr>
            </w:pPr>
            <w:r>
              <w:rPr>
                <w:sz w:val="20"/>
              </w:rPr>
              <w:t>Litigation</w:t>
            </w:r>
          </w:p>
        </w:tc>
        <w:tc>
          <w:tcPr>
            <w:tcW w:w="485" w:type="dxa"/>
            <w:tcBorders/>
            <w:vAlign w:val="center"/>
          </w:tcPr>
          <w:p>
            <w:pPr>
              <w:pStyle w:val="TableContents"/>
              <w:bidi w:val="0"/>
              <w:spacing w:before="0" w:after="283"/>
              <w:jc w:val="right"/>
              <w:rPr/>
            </w:pPr>
            <w:r>
              <w:rPr>
                <w:strike/>
                <w:color w:val="FF0000"/>
                <w:sz w:val="20"/>
              </w:rPr>
              <w:t>59</w:t>
            </w:r>
            <w:r>
              <w:rPr>
                <w:color w:val="0000FF"/>
                <w:u w:val="single"/>
              </w:rPr>
              <w:t>84</w:t>
            </w:r>
          </w:p>
        </w:tc>
      </w:tr>
      <w:tr>
        <w:trPr/>
        <w:tc>
          <w:tcPr>
            <w:tcW w:w="475" w:type="dxa"/>
            <w:tcBorders/>
            <w:vAlign w:val="center"/>
          </w:tcPr>
          <w:p>
            <w:pPr>
              <w:pStyle w:val="TableContents"/>
              <w:bidi w:val="0"/>
              <w:spacing w:before="0" w:after="283"/>
              <w:jc w:val="left"/>
              <w:rPr>
                <w:sz w:val="20"/>
              </w:rPr>
            </w:pPr>
            <w:r>
              <w:rPr>
                <w:sz w:val="20"/>
              </w:rPr>
              <w:t>5.8</w:t>
            </w:r>
          </w:p>
        </w:tc>
        <w:tc>
          <w:tcPr>
            <w:tcW w:w="4434" w:type="dxa"/>
            <w:tcBorders/>
            <w:vAlign w:val="center"/>
          </w:tcPr>
          <w:p>
            <w:pPr>
              <w:pStyle w:val="TableContents"/>
              <w:bidi w:val="0"/>
              <w:spacing w:before="0" w:after="283"/>
              <w:jc w:val="left"/>
              <w:rPr>
                <w:sz w:val="20"/>
              </w:rPr>
            </w:pPr>
            <w:r>
              <w:rPr>
                <w:sz w:val="20"/>
              </w:rPr>
              <w:t>Subsidiaries</w:t>
            </w:r>
          </w:p>
        </w:tc>
        <w:tc>
          <w:tcPr>
            <w:tcW w:w="485" w:type="dxa"/>
            <w:tcBorders/>
            <w:vAlign w:val="center"/>
          </w:tcPr>
          <w:p>
            <w:pPr>
              <w:pStyle w:val="TableContents"/>
              <w:bidi w:val="0"/>
              <w:spacing w:before="0" w:after="283"/>
              <w:jc w:val="right"/>
              <w:rPr/>
            </w:pPr>
            <w:r>
              <w:rPr>
                <w:strike/>
                <w:color w:val="FF0000"/>
                <w:sz w:val="20"/>
              </w:rPr>
              <w:t>59</w:t>
            </w:r>
            <w:r>
              <w:rPr>
                <w:color w:val="0000FF"/>
                <w:u w:val="single"/>
              </w:rPr>
              <w:t>84</w:t>
            </w:r>
          </w:p>
        </w:tc>
      </w:tr>
      <w:tr>
        <w:trPr/>
        <w:tc>
          <w:tcPr>
            <w:tcW w:w="475" w:type="dxa"/>
            <w:tcBorders/>
            <w:vAlign w:val="center"/>
          </w:tcPr>
          <w:p>
            <w:pPr>
              <w:pStyle w:val="TableContents"/>
              <w:bidi w:val="0"/>
              <w:spacing w:before="0" w:after="283"/>
              <w:jc w:val="left"/>
              <w:rPr>
                <w:sz w:val="20"/>
              </w:rPr>
            </w:pPr>
            <w:r>
              <w:rPr>
                <w:sz w:val="20"/>
              </w:rPr>
              <w:t>5.9</w:t>
            </w:r>
          </w:p>
        </w:tc>
        <w:tc>
          <w:tcPr>
            <w:tcW w:w="4434" w:type="dxa"/>
            <w:tcBorders/>
            <w:vAlign w:val="center"/>
          </w:tcPr>
          <w:p>
            <w:pPr>
              <w:pStyle w:val="TableContents"/>
              <w:bidi w:val="0"/>
              <w:spacing w:before="0" w:after="283"/>
              <w:jc w:val="left"/>
              <w:rPr>
                <w:sz w:val="20"/>
              </w:rPr>
            </w:pPr>
            <w:r>
              <w:rPr>
                <w:sz w:val="20"/>
              </w:rPr>
              <w:t>ERISA</w:t>
            </w:r>
          </w:p>
        </w:tc>
        <w:tc>
          <w:tcPr>
            <w:tcW w:w="485" w:type="dxa"/>
            <w:tcBorders/>
            <w:vAlign w:val="center"/>
          </w:tcPr>
          <w:p>
            <w:pPr>
              <w:pStyle w:val="TableContents"/>
              <w:bidi w:val="0"/>
              <w:spacing w:before="0" w:after="283"/>
              <w:jc w:val="right"/>
              <w:rPr/>
            </w:pPr>
            <w:r>
              <w:rPr>
                <w:strike/>
                <w:color w:val="FF0000"/>
                <w:sz w:val="20"/>
              </w:rPr>
              <w:t>59</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5.10</w:t>
            </w:r>
          </w:p>
        </w:tc>
        <w:tc>
          <w:tcPr>
            <w:tcW w:w="4434" w:type="dxa"/>
            <w:tcBorders/>
            <w:vAlign w:val="center"/>
          </w:tcPr>
          <w:p>
            <w:pPr>
              <w:pStyle w:val="TableContents"/>
              <w:bidi w:val="0"/>
              <w:spacing w:before="0" w:after="283"/>
              <w:jc w:val="left"/>
              <w:rPr>
                <w:sz w:val="20"/>
              </w:rPr>
            </w:pPr>
            <w:r>
              <w:rPr>
                <w:sz w:val="20"/>
              </w:rPr>
              <w:t>Accuracy of Information</w:t>
            </w:r>
          </w:p>
        </w:tc>
        <w:tc>
          <w:tcPr>
            <w:tcW w:w="485" w:type="dxa"/>
            <w:tcBorders/>
            <w:vAlign w:val="center"/>
          </w:tcPr>
          <w:p>
            <w:pPr>
              <w:pStyle w:val="TableContents"/>
              <w:bidi w:val="0"/>
              <w:spacing w:before="0" w:after="283"/>
              <w:jc w:val="right"/>
              <w:rPr/>
            </w:pPr>
            <w:r>
              <w:rPr>
                <w:strike/>
                <w:color w:val="FF0000"/>
                <w:sz w:val="20"/>
              </w:rPr>
              <w:t>60</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5.11</w:t>
            </w:r>
          </w:p>
        </w:tc>
        <w:tc>
          <w:tcPr>
            <w:tcW w:w="4434" w:type="dxa"/>
            <w:tcBorders/>
            <w:vAlign w:val="center"/>
          </w:tcPr>
          <w:p>
            <w:pPr>
              <w:pStyle w:val="TableContents"/>
              <w:bidi w:val="0"/>
              <w:spacing w:before="0" w:after="283"/>
              <w:jc w:val="left"/>
              <w:rPr>
                <w:sz w:val="20"/>
              </w:rPr>
            </w:pPr>
            <w:r>
              <w:rPr>
                <w:sz w:val="20"/>
              </w:rPr>
              <w:t>Regulation U</w:t>
            </w:r>
          </w:p>
        </w:tc>
        <w:tc>
          <w:tcPr>
            <w:tcW w:w="485" w:type="dxa"/>
            <w:tcBorders/>
            <w:vAlign w:val="center"/>
          </w:tcPr>
          <w:p>
            <w:pPr>
              <w:pStyle w:val="TableContents"/>
              <w:bidi w:val="0"/>
              <w:spacing w:before="0" w:after="283"/>
              <w:jc w:val="right"/>
              <w:rPr/>
            </w:pPr>
            <w:r>
              <w:rPr>
                <w:strike/>
                <w:color w:val="FF0000"/>
                <w:sz w:val="20"/>
              </w:rPr>
              <w:t>60</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5.12</w:t>
            </w:r>
          </w:p>
        </w:tc>
        <w:tc>
          <w:tcPr>
            <w:tcW w:w="4434" w:type="dxa"/>
            <w:tcBorders/>
            <w:vAlign w:val="center"/>
          </w:tcPr>
          <w:p>
            <w:pPr>
              <w:pStyle w:val="TableContents"/>
              <w:bidi w:val="0"/>
              <w:spacing w:before="0" w:after="283"/>
              <w:jc w:val="left"/>
              <w:rPr>
                <w:sz w:val="20"/>
              </w:rPr>
            </w:pPr>
            <w:r>
              <w:rPr>
                <w:sz w:val="20"/>
              </w:rPr>
              <w:t>Material Agreements</w:t>
            </w:r>
          </w:p>
        </w:tc>
        <w:tc>
          <w:tcPr>
            <w:tcW w:w="485" w:type="dxa"/>
            <w:tcBorders/>
            <w:vAlign w:val="center"/>
          </w:tcPr>
          <w:p>
            <w:pPr>
              <w:pStyle w:val="TableContents"/>
              <w:bidi w:val="0"/>
              <w:spacing w:before="0" w:after="283"/>
              <w:jc w:val="right"/>
              <w:rPr/>
            </w:pPr>
            <w:r>
              <w:rPr>
                <w:strike/>
                <w:color w:val="FF0000"/>
                <w:sz w:val="20"/>
              </w:rPr>
              <w:t>60</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5.13</w:t>
            </w:r>
          </w:p>
        </w:tc>
        <w:tc>
          <w:tcPr>
            <w:tcW w:w="4434" w:type="dxa"/>
            <w:tcBorders/>
            <w:vAlign w:val="center"/>
          </w:tcPr>
          <w:p>
            <w:pPr>
              <w:pStyle w:val="TableContents"/>
              <w:bidi w:val="0"/>
              <w:spacing w:before="0" w:after="283"/>
              <w:jc w:val="left"/>
              <w:rPr>
                <w:sz w:val="20"/>
              </w:rPr>
            </w:pPr>
            <w:r>
              <w:rPr>
                <w:sz w:val="20"/>
              </w:rPr>
              <w:t>Compliance With Laws</w:t>
            </w:r>
          </w:p>
        </w:tc>
        <w:tc>
          <w:tcPr>
            <w:tcW w:w="485" w:type="dxa"/>
            <w:tcBorders/>
            <w:vAlign w:val="center"/>
          </w:tcPr>
          <w:p>
            <w:pPr>
              <w:pStyle w:val="TableContents"/>
              <w:bidi w:val="0"/>
              <w:spacing w:before="0" w:after="283"/>
              <w:jc w:val="right"/>
              <w:rPr/>
            </w:pPr>
            <w:r>
              <w:rPr>
                <w:strike/>
                <w:color w:val="FF0000"/>
                <w:sz w:val="20"/>
              </w:rPr>
              <w:t>60</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5.14</w:t>
            </w:r>
          </w:p>
        </w:tc>
        <w:tc>
          <w:tcPr>
            <w:tcW w:w="4434" w:type="dxa"/>
            <w:tcBorders/>
            <w:vAlign w:val="center"/>
          </w:tcPr>
          <w:p>
            <w:pPr>
              <w:pStyle w:val="TableContents"/>
              <w:bidi w:val="0"/>
              <w:spacing w:before="0" w:after="283"/>
              <w:jc w:val="left"/>
              <w:rPr>
                <w:sz w:val="20"/>
              </w:rPr>
            </w:pPr>
            <w:r>
              <w:rPr>
                <w:sz w:val="20"/>
              </w:rPr>
              <w:t>Ownership of Properties</w:t>
            </w:r>
          </w:p>
        </w:tc>
        <w:tc>
          <w:tcPr>
            <w:tcW w:w="485" w:type="dxa"/>
            <w:tcBorders/>
            <w:vAlign w:val="center"/>
          </w:tcPr>
          <w:p>
            <w:pPr>
              <w:pStyle w:val="TableContents"/>
              <w:bidi w:val="0"/>
              <w:spacing w:before="0" w:after="283"/>
              <w:jc w:val="right"/>
              <w:rPr/>
            </w:pPr>
            <w:r>
              <w:rPr>
                <w:strike/>
                <w:color w:val="FF0000"/>
                <w:sz w:val="20"/>
              </w:rPr>
              <w:t>60</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5.15</w:t>
            </w:r>
          </w:p>
        </w:tc>
        <w:tc>
          <w:tcPr>
            <w:tcW w:w="4434" w:type="dxa"/>
            <w:tcBorders/>
            <w:vAlign w:val="center"/>
          </w:tcPr>
          <w:p>
            <w:pPr>
              <w:pStyle w:val="TableContents"/>
              <w:bidi w:val="0"/>
              <w:spacing w:before="0" w:after="283"/>
              <w:jc w:val="left"/>
              <w:rPr>
                <w:sz w:val="20"/>
              </w:rPr>
            </w:pPr>
            <w:r>
              <w:rPr>
                <w:sz w:val="20"/>
              </w:rPr>
              <w:t>Plan Assets; Prohibited Transactions</w:t>
            </w:r>
          </w:p>
        </w:tc>
        <w:tc>
          <w:tcPr>
            <w:tcW w:w="485" w:type="dxa"/>
            <w:tcBorders/>
            <w:vAlign w:val="center"/>
          </w:tcPr>
          <w:p>
            <w:pPr>
              <w:pStyle w:val="TableContents"/>
              <w:bidi w:val="0"/>
              <w:spacing w:before="0" w:after="283"/>
              <w:jc w:val="right"/>
              <w:rPr/>
            </w:pPr>
            <w:r>
              <w:rPr>
                <w:strike/>
                <w:color w:val="FF0000"/>
                <w:sz w:val="20"/>
              </w:rPr>
              <w:t>60</w:t>
            </w:r>
            <w:r>
              <w:rPr>
                <w:color w:val="0000FF"/>
                <w:u w:val="single"/>
              </w:rPr>
              <w:t>85</w:t>
            </w:r>
          </w:p>
        </w:tc>
      </w:tr>
      <w:tr>
        <w:trPr/>
        <w:tc>
          <w:tcPr>
            <w:tcW w:w="475" w:type="dxa"/>
            <w:tcBorders/>
            <w:vAlign w:val="center"/>
          </w:tcPr>
          <w:p>
            <w:pPr>
              <w:pStyle w:val="TableContents"/>
              <w:bidi w:val="0"/>
              <w:spacing w:before="0" w:after="283"/>
              <w:jc w:val="left"/>
              <w:rPr>
                <w:sz w:val="20"/>
              </w:rPr>
            </w:pPr>
            <w:r>
              <w:rPr>
                <w:sz w:val="20"/>
              </w:rPr>
              <w:t>5.16</w:t>
            </w:r>
          </w:p>
        </w:tc>
        <w:tc>
          <w:tcPr>
            <w:tcW w:w="4434" w:type="dxa"/>
            <w:tcBorders/>
            <w:vAlign w:val="center"/>
          </w:tcPr>
          <w:p>
            <w:pPr>
              <w:pStyle w:val="TableContents"/>
              <w:bidi w:val="0"/>
              <w:spacing w:before="0" w:after="283"/>
              <w:jc w:val="left"/>
              <w:rPr>
                <w:sz w:val="20"/>
              </w:rPr>
            </w:pPr>
            <w:r>
              <w:rPr>
                <w:sz w:val="20"/>
              </w:rPr>
              <w:t>Environmental Matters</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5.17</w:t>
            </w:r>
          </w:p>
        </w:tc>
        <w:tc>
          <w:tcPr>
            <w:tcW w:w="4434" w:type="dxa"/>
            <w:tcBorders/>
            <w:vAlign w:val="center"/>
          </w:tcPr>
          <w:p>
            <w:pPr>
              <w:pStyle w:val="TableContents"/>
              <w:bidi w:val="0"/>
              <w:spacing w:before="0" w:after="283"/>
              <w:jc w:val="left"/>
              <w:rPr>
                <w:sz w:val="20"/>
              </w:rPr>
            </w:pPr>
            <w:r>
              <w:rPr>
                <w:sz w:val="20"/>
              </w:rPr>
              <w:t>Subordinated Indebtedness</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5.18</w:t>
            </w:r>
          </w:p>
        </w:tc>
        <w:tc>
          <w:tcPr>
            <w:tcW w:w="4434" w:type="dxa"/>
            <w:tcBorders/>
            <w:vAlign w:val="center"/>
          </w:tcPr>
          <w:p>
            <w:pPr>
              <w:pStyle w:val="TableContents"/>
              <w:bidi w:val="0"/>
              <w:spacing w:before="0" w:after="283"/>
              <w:jc w:val="left"/>
              <w:rPr>
                <w:sz w:val="20"/>
              </w:rPr>
            </w:pPr>
            <w:r>
              <w:rPr>
                <w:sz w:val="20"/>
              </w:rPr>
              <w:t>Insurance</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5.19</w:t>
            </w:r>
          </w:p>
        </w:tc>
        <w:tc>
          <w:tcPr>
            <w:tcW w:w="4434" w:type="dxa"/>
            <w:tcBorders/>
            <w:vAlign w:val="center"/>
          </w:tcPr>
          <w:p>
            <w:pPr>
              <w:pStyle w:val="TableContents"/>
              <w:bidi w:val="0"/>
              <w:spacing w:before="0" w:after="283"/>
              <w:jc w:val="left"/>
              <w:rPr>
                <w:sz w:val="20"/>
              </w:rPr>
            </w:pPr>
            <w:r>
              <w:rPr>
                <w:sz w:val="20"/>
              </w:rPr>
              <w:t>Solvency</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5.20</w:t>
            </w:r>
          </w:p>
        </w:tc>
        <w:tc>
          <w:tcPr>
            <w:tcW w:w="4434" w:type="dxa"/>
            <w:tcBorders/>
            <w:vAlign w:val="center"/>
          </w:tcPr>
          <w:p>
            <w:pPr>
              <w:pStyle w:val="TableContents"/>
              <w:bidi w:val="0"/>
              <w:spacing w:before="0" w:after="283"/>
              <w:jc w:val="left"/>
              <w:rPr>
                <w:sz w:val="20"/>
              </w:rPr>
            </w:pPr>
            <w:r>
              <w:rPr>
                <w:sz w:val="20"/>
              </w:rPr>
              <w:t>Compliance with FCPA</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5.21</w:t>
            </w:r>
          </w:p>
        </w:tc>
        <w:tc>
          <w:tcPr>
            <w:tcW w:w="4434" w:type="dxa"/>
            <w:tcBorders/>
            <w:vAlign w:val="center"/>
          </w:tcPr>
          <w:p>
            <w:pPr>
              <w:pStyle w:val="TableContents"/>
              <w:bidi w:val="0"/>
              <w:spacing w:before="0" w:after="283"/>
              <w:jc w:val="left"/>
              <w:rPr>
                <w:sz w:val="20"/>
              </w:rPr>
            </w:pPr>
            <w:r>
              <w:rPr>
                <w:sz w:val="20"/>
              </w:rPr>
              <w:t>Investment Company Act; etc.</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5.22</w:t>
            </w:r>
          </w:p>
        </w:tc>
        <w:tc>
          <w:tcPr>
            <w:tcW w:w="4434" w:type="dxa"/>
            <w:tcBorders/>
            <w:vAlign w:val="center"/>
          </w:tcPr>
          <w:p>
            <w:pPr>
              <w:pStyle w:val="TableContents"/>
              <w:bidi w:val="0"/>
              <w:spacing w:before="0" w:after="283"/>
              <w:jc w:val="left"/>
              <w:rPr>
                <w:sz w:val="20"/>
              </w:rPr>
            </w:pPr>
            <w:r>
              <w:rPr>
                <w:sz w:val="20"/>
              </w:rPr>
              <w:t>Reserved</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5.23</w:t>
            </w:r>
          </w:p>
        </w:tc>
        <w:tc>
          <w:tcPr>
            <w:tcW w:w="4434" w:type="dxa"/>
            <w:tcBorders/>
            <w:vAlign w:val="center"/>
          </w:tcPr>
          <w:p>
            <w:pPr>
              <w:pStyle w:val="TableContents"/>
              <w:bidi w:val="0"/>
              <w:spacing w:before="0" w:after="283"/>
              <w:jc w:val="left"/>
              <w:rPr>
                <w:sz w:val="20"/>
              </w:rPr>
            </w:pPr>
            <w:r>
              <w:rPr>
                <w:sz w:val="20"/>
              </w:rPr>
              <w:t>USA PATRIOT ACT NOTIFICATION; OFAC</w:t>
            </w:r>
          </w:p>
        </w:tc>
        <w:tc>
          <w:tcPr>
            <w:tcW w:w="485" w:type="dxa"/>
            <w:tcBorders/>
            <w:vAlign w:val="center"/>
          </w:tcPr>
          <w:p>
            <w:pPr>
              <w:pStyle w:val="TableContents"/>
              <w:bidi w:val="0"/>
              <w:spacing w:before="0" w:after="283"/>
              <w:jc w:val="right"/>
              <w:rPr/>
            </w:pPr>
            <w:r>
              <w:rPr>
                <w:strike/>
                <w:color w:val="FF0000"/>
                <w:sz w:val="20"/>
              </w:rPr>
              <w:t>61</w:t>
            </w:r>
            <w:r>
              <w:rPr>
                <w:color w:val="0000FF"/>
                <w:u w:val="single"/>
              </w:rPr>
              <w:t>86</w:t>
            </w:r>
          </w:p>
        </w:tc>
      </w:tr>
      <w:tr>
        <w:trPr/>
        <w:tc>
          <w:tcPr>
            <w:tcW w:w="475" w:type="dxa"/>
            <w:tcBorders/>
            <w:vAlign w:val="center"/>
          </w:tcPr>
          <w:p>
            <w:pPr>
              <w:pStyle w:val="TableContents"/>
              <w:bidi w:val="0"/>
              <w:spacing w:before="0" w:after="283"/>
              <w:jc w:val="left"/>
              <w:rPr>
                <w:sz w:val="20"/>
              </w:rPr>
            </w:pPr>
            <w:r>
              <w:rPr>
                <w:sz w:val="20"/>
              </w:rPr>
              <w:t>5.24</w:t>
            </w:r>
          </w:p>
        </w:tc>
        <w:tc>
          <w:tcPr>
            <w:tcW w:w="4434" w:type="dxa"/>
            <w:tcBorders/>
            <w:vAlign w:val="center"/>
          </w:tcPr>
          <w:p>
            <w:pPr>
              <w:pStyle w:val="TableContents"/>
              <w:bidi w:val="0"/>
              <w:spacing w:before="0" w:after="283"/>
              <w:jc w:val="left"/>
              <w:rPr>
                <w:sz w:val="20"/>
              </w:rPr>
            </w:pPr>
            <w:r>
              <w:rPr>
                <w:sz w:val="20"/>
              </w:rPr>
              <w:t>Embargoed Person</w:t>
            </w:r>
          </w:p>
        </w:tc>
        <w:tc>
          <w:tcPr>
            <w:tcW w:w="485" w:type="dxa"/>
            <w:tcBorders/>
            <w:vAlign w:val="center"/>
          </w:tcPr>
          <w:p>
            <w:pPr>
              <w:pStyle w:val="TableContents"/>
              <w:bidi w:val="0"/>
              <w:spacing w:before="0" w:after="283"/>
              <w:jc w:val="right"/>
              <w:rPr/>
            </w:pPr>
            <w:r>
              <w:rPr>
                <w:strike/>
                <w:color w:val="FF0000"/>
                <w:sz w:val="20"/>
              </w:rPr>
              <w:t>62</w:t>
            </w:r>
            <w:r>
              <w:rPr>
                <w:color w:val="0000FF"/>
                <w:u w:val="single"/>
              </w:rPr>
              <w:t>87</w:t>
            </w:r>
          </w:p>
        </w:tc>
      </w:tr>
      <w:tr>
        <w:trPr/>
        <w:tc>
          <w:tcPr>
            <w:tcW w:w="475"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4909" w:type="dxa"/>
            <w:gridSpan w:val="2"/>
            <w:tcBorders/>
            <w:vAlign w:val="center"/>
          </w:tcPr>
          <w:p>
            <w:pPr>
              <w:pStyle w:val="TableContents"/>
              <w:bidi w:val="0"/>
              <w:spacing w:before="0" w:after="283"/>
              <w:jc w:val="left"/>
              <w:rPr>
                <w:b/>
                <w:caps/>
                <w:sz w:val="20"/>
              </w:rPr>
            </w:pPr>
            <w:r>
              <w:rPr>
                <w:b/>
                <w:caps/>
                <w:sz w:val="20"/>
              </w:rPr>
              <w:t>Article VI. COVENANTS</w:t>
            </w:r>
          </w:p>
        </w:tc>
        <w:tc>
          <w:tcPr>
            <w:tcW w:w="485" w:type="dxa"/>
            <w:tcBorders/>
            <w:vAlign w:val="center"/>
          </w:tcPr>
          <w:p>
            <w:pPr>
              <w:pStyle w:val="TableContents"/>
              <w:bidi w:val="0"/>
              <w:spacing w:before="0" w:after="283"/>
              <w:jc w:val="right"/>
              <w:rPr/>
            </w:pPr>
            <w:r>
              <w:rPr>
                <w:b/>
                <w:caps/>
                <w:strike/>
                <w:color w:val="FF0000"/>
                <w:sz w:val="20"/>
              </w:rPr>
              <w:t>62</w:t>
            </w:r>
            <w:r>
              <w:rPr>
                <w:b/>
                <w:color w:val="0000FF"/>
                <w:u w:val="single"/>
              </w:rPr>
              <w:t>87</w:t>
            </w:r>
          </w:p>
        </w:tc>
      </w:tr>
      <w:tr>
        <w:trPr/>
        <w:tc>
          <w:tcPr>
            <w:tcW w:w="475" w:type="dxa"/>
            <w:tcBorders/>
            <w:vAlign w:val="center"/>
          </w:tcPr>
          <w:p>
            <w:pPr>
              <w:pStyle w:val="TableContents"/>
              <w:bidi w:val="0"/>
              <w:spacing w:before="0" w:after="283"/>
              <w:jc w:val="left"/>
              <w:rPr>
                <w:sz w:val="20"/>
              </w:rPr>
            </w:pPr>
            <w:r>
              <w:rPr>
                <w:sz w:val="20"/>
              </w:rPr>
              <w:t>6.1</w:t>
            </w:r>
          </w:p>
        </w:tc>
        <w:tc>
          <w:tcPr>
            <w:tcW w:w="4434" w:type="dxa"/>
            <w:tcBorders/>
            <w:vAlign w:val="center"/>
          </w:tcPr>
          <w:p>
            <w:pPr>
              <w:pStyle w:val="TableContents"/>
              <w:bidi w:val="0"/>
              <w:spacing w:before="0" w:after="283"/>
              <w:jc w:val="left"/>
              <w:rPr>
                <w:sz w:val="20"/>
              </w:rPr>
            </w:pPr>
            <w:r>
              <w:rPr>
                <w:sz w:val="20"/>
              </w:rPr>
              <w:t>Financial Reporting</w:t>
            </w:r>
          </w:p>
        </w:tc>
        <w:tc>
          <w:tcPr>
            <w:tcW w:w="485" w:type="dxa"/>
            <w:tcBorders/>
            <w:vAlign w:val="center"/>
          </w:tcPr>
          <w:p>
            <w:pPr>
              <w:pStyle w:val="TableContents"/>
              <w:bidi w:val="0"/>
              <w:spacing w:before="0" w:after="283"/>
              <w:jc w:val="right"/>
              <w:rPr/>
            </w:pPr>
            <w:r>
              <w:rPr>
                <w:strike/>
                <w:color w:val="FF0000"/>
                <w:sz w:val="20"/>
              </w:rPr>
              <w:t>62</w:t>
            </w:r>
            <w:r>
              <w:rPr>
                <w:color w:val="0000FF"/>
                <w:u w:val="single"/>
              </w:rPr>
              <w:t>87</w:t>
            </w:r>
          </w:p>
        </w:tc>
      </w:tr>
      <w:tr>
        <w:trPr/>
        <w:tc>
          <w:tcPr>
            <w:tcW w:w="475" w:type="dxa"/>
            <w:tcBorders/>
            <w:vAlign w:val="center"/>
          </w:tcPr>
          <w:p>
            <w:pPr>
              <w:pStyle w:val="TableContents"/>
              <w:bidi w:val="0"/>
              <w:spacing w:before="0" w:after="283"/>
              <w:jc w:val="left"/>
              <w:rPr>
                <w:sz w:val="20"/>
              </w:rPr>
            </w:pPr>
            <w:r>
              <w:rPr>
                <w:sz w:val="20"/>
              </w:rPr>
              <w:t>6.2</w:t>
            </w:r>
          </w:p>
        </w:tc>
        <w:tc>
          <w:tcPr>
            <w:tcW w:w="4434" w:type="dxa"/>
            <w:tcBorders/>
            <w:vAlign w:val="center"/>
          </w:tcPr>
          <w:p>
            <w:pPr>
              <w:pStyle w:val="TableContents"/>
              <w:bidi w:val="0"/>
              <w:spacing w:before="0" w:after="283"/>
              <w:jc w:val="left"/>
              <w:rPr>
                <w:sz w:val="20"/>
              </w:rPr>
            </w:pPr>
            <w:r>
              <w:rPr>
                <w:sz w:val="20"/>
              </w:rPr>
              <w:t>Use of Proceeds</w:t>
            </w:r>
            <w:r>
              <w:rPr>
                <w:color w:val="0000FF"/>
                <w:sz w:val="20"/>
                <w:u w:val="single"/>
              </w:rPr>
              <w:t>of Senior Credit Facility</w:t>
            </w:r>
          </w:p>
        </w:tc>
        <w:tc>
          <w:tcPr>
            <w:tcW w:w="485" w:type="dxa"/>
            <w:tcBorders/>
            <w:vAlign w:val="center"/>
          </w:tcPr>
          <w:p>
            <w:pPr>
              <w:pStyle w:val="TableContents"/>
              <w:bidi w:val="0"/>
              <w:spacing w:before="0" w:after="283"/>
              <w:jc w:val="right"/>
              <w:rPr/>
            </w:pPr>
            <w:r>
              <w:rPr>
                <w:strike/>
                <w:color w:val="FF0000"/>
                <w:sz w:val="20"/>
              </w:rPr>
              <w:t>64</w:t>
            </w:r>
            <w:r>
              <w:rPr>
                <w:color w:val="0000FF"/>
                <w:u w:val="single"/>
              </w:rPr>
              <w:t>89</w:t>
            </w:r>
          </w:p>
        </w:tc>
      </w:tr>
      <w:tr>
        <w:trPr/>
        <w:tc>
          <w:tcPr>
            <w:tcW w:w="475" w:type="dxa"/>
            <w:tcBorders/>
            <w:vAlign w:val="center"/>
          </w:tcPr>
          <w:p>
            <w:pPr>
              <w:pStyle w:val="TableContents"/>
              <w:bidi w:val="0"/>
              <w:spacing w:before="0" w:after="283"/>
              <w:jc w:val="left"/>
              <w:rPr>
                <w:sz w:val="20"/>
              </w:rPr>
            </w:pPr>
            <w:r>
              <w:rPr>
                <w:sz w:val="20"/>
              </w:rPr>
              <w:t>6.3</w:t>
            </w:r>
          </w:p>
        </w:tc>
        <w:tc>
          <w:tcPr>
            <w:tcW w:w="4434" w:type="dxa"/>
            <w:tcBorders/>
            <w:vAlign w:val="center"/>
          </w:tcPr>
          <w:p>
            <w:pPr>
              <w:pStyle w:val="TableContents"/>
              <w:bidi w:val="0"/>
              <w:spacing w:before="0" w:after="283"/>
              <w:jc w:val="left"/>
              <w:rPr>
                <w:sz w:val="20"/>
              </w:rPr>
            </w:pPr>
            <w:r>
              <w:rPr>
                <w:sz w:val="20"/>
              </w:rPr>
              <w:t>Notices</w:t>
            </w:r>
          </w:p>
        </w:tc>
        <w:tc>
          <w:tcPr>
            <w:tcW w:w="485" w:type="dxa"/>
            <w:tcBorders/>
            <w:vAlign w:val="center"/>
          </w:tcPr>
          <w:p>
            <w:pPr>
              <w:pStyle w:val="TableContents"/>
              <w:bidi w:val="0"/>
              <w:spacing w:before="0" w:after="283"/>
              <w:jc w:val="right"/>
              <w:rPr/>
            </w:pPr>
            <w:r>
              <w:rPr>
                <w:strike/>
                <w:color w:val="FF0000"/>
                <w:sz w:val="20"/>
              </w:rPr>
              <w:t>64</w:t>
            </w:r>
            <w:r>
              <w:rPr>
                <w:color w:val="0000FF"/>
                <w:u w:val="single"/>
              </w:rPr>
              <w:t>89</w:t>
            </w:r>
          </w:p>
        </w:tc>
      </w:tr>
      <w:tr>
        <w:trPr/>
        <w:tc>
          <w:tcPr>
            <w:tcW w:w="475" w:type="dxa"/>
            <w:tcBorders/>
            <w:vAlign w:val="center"/>
          </w:tcPr>
          <w:p>
            <w:pPr>
              <w:pStyle w:val="TableContents"/>
              <w:bidi w:val="0"/>
              <w:spacing w:before="0" w:after="283"/>
              <w:jc w:val="left"/>
              <w:rPr>
                <w:sz w:val="20"/>
              </w:rPr>
            </w:pPr>
            <w:r>
              <w:rPr>
                <w:sz w:val="20"/>
              </w:rPr>
              <w:t>6.4</w:t>
            </w:r>
          </w:p>
        </w:tc>
        <w:tc>
          <w:tcPr>
            <w:tcW w:w="4434" w:type="dxa"/>
            <w:tcBorders/>
            <w:vAlign w:val="center"/>
          </w:tcPr>
          <w:p>
            <w:pPr>
              <w:pStyle w:val="TableContents"/>
              <w:bidi w:val="0"/>
              <w:spacing w:before="0" w:after="283"/>
              <w:jc w:val="left"/>
              <w:rPr>
                <w:sz w:val="20"/>
              </w:rPr>
            </w:pPr>
            <w:r>
              <w:rPr>
                <w:sz w:val="20"/>
              </w:rPr>
              <w:t>Conduct of Business</w:t>
            </w:r>
          </w:p>
        </w:tc>
        <w:tc>
          <w:tcPr>
            <w:tcW w:w="485" w:type="dxa"/>
            <w:tcBorders/>
            <w:vAlign w:val="center"/>
          </w:tcPr>
          <w:p>
            <w:pPr>
              <w:pStyle w:val="TableContents"/>
              <w:bidi w:val="0"/>
              <w:spacing w:before="0" w:after="283"/>
              <w:jc w:val="right"/>
              <w:rPr/>
            </w:pPr>
            <w:r>
              <w:rPr>
                <w:strike/>
                <w:color w:val="FF0000"/>
                <w:sz w:val="20"/>
              </w:rPr>
              <w:t>64</w:t>
            </w:r>
            <w:r>
              <w:rPr>
                <w:color w:val="0000FF"/>
                <w:u w:val="single"/>
              </w:rPr>
              <w:t>89</w:t>
            </w:r>
          </w:p>
        </w:tc>
      </w:tr>
      <w:tr>
        <w:trPr/>
        <w:tc>
          <w:tcPr>
            <w:tcW w:w="475" w:type="dxa"/>
            <w:tcBorders/>
            <w:vAlign w:val="center"/>
          </w:tcPr>
          <w:p>
            <w:pPr>
              <w:pStyle w:val="TableContents"/>
              <w:bidi w:val="0"/>
              <w:spacing w:before="0" w:after="283"/>
              <w:jc w:val="left"/>
              <w:rPr>
                <w:sz w:val="20"/>
              </w:rPr>
            </w:pPr>
            <w:r>
              <w:rPr>
                <w:sz w:val="20"/>
              </w:rPr>
              <w:t>6.5</w:t>
            </w:r>
          </w:p>
        </w:tc>
        <w:tc>
          <w:tcPr>
            <w:tcW w:w="4434" w:type="dxa"/>
            <w:tcBorders/>
            <w:vAlign w:val="center"/>
          </w:tcPr>
          <w:p>
            <w:pPr>
              <w:pStyle w:val="TableContents"/>
              <w:bidi w:val="0"/>
              <w:spacing w:before="0" w:after="283"/>
              <w:jc w:val="left"/>
              <w:rPr>
                <w:sz w:val="20"/>
              </w:rPr>
            </w:pPr>
            <w:r>
              <w:rPr>
                <w:sz w:val="20"/>
              </w:rPr>
              <w:t>Taxes</w:t>
            </w:r>
          </w:p>
        </w:tc>
        <w:tc>
          <w:tcPr>
            <w:tcW w:w="485" w:type="dxa"/>
            <w:tcBorders/>
            <w:vAlign w:val="center"/>
          </w:tcPr>
          <w:p>
            <w:pPr>
              <w:pStyle w:val="TableContents"/>
              <w:bidi w:val="0"/>
              <w:spacing w:before="0" w:after="283"/>
              <w:jc w:val="right"/>
              <w:rPr/>
            </w:pPr>
            <w:r>
              <w:rPr>
                <w:strike/>
                <w:color w:val="FF0000"/>
                <w:sz w:val="20"/>
              </w:rPr>
              <w:t>64</w:t>
            </w:r>
            <w:r>
              <w:rPr>
                <w:color w:val="0000FF"/>
                <w:u w:val="single"/>
              </w:rPr>
              <w:t>89</w:t>
            </w:r>
          </w:p>
        </w:tc>
      </w:tr>
      <w:tr>
        <w:trPr/>
        <w:tc>
          <w:tcPr>
            <w:tcW w:w="475" w:type="dxa"/>
            <w:tcBorders/>
            <w:vAlign w:val="center"/>
          </w:tcPr>
          <w:p>
            <w:pPr>
              <w:pStyle w:val="TableContents"/>
              <w:bidi w:val="0"/>
              <w:spacing w:before="0" w:after="283"/>
              <w:jc w:val="left"/>
              <w:rPr>
                <w:sz w:val="20"/>
              </w:rPr>
            </w:pPr>
            <w:r>
              <w:rPr>
                <w:sz w:val="20"/>
              </w:rPr>
              <w:t>6.6</w:t>
            </w:r>
          </w:p>
        </w:tc>
        <w:tc>
          <w:tcPr>
            <w:tcW w:w="4434" w:type="dxa"/>
            <w:tcBorders/>
            <w:vAlign w:val="center"/>
          </w:tcPr>
          <w:p>
            <w:pPr>
              <w:pStyle w:val="TableContents"/>
              <w:bidi w:val="0"/>
              <w:spacing w:before="0" w:after="283"/>
              <w:jc w:val="left"/>
              <w:rPr>
                <w:sz w:val="20"/>
              </w:rPr>
            </w:pPr>
            <w:r>
              <w:rPr>
                <w:sz w:val="20"/>
              </w:rPr>
              <w:t>Insurance</w:t>
            </w:r>
          </w:p>
        </w:tc>
        <w:tc>
          <w:tcPr>
            <w:tcW w:w="485" w:type="dxa"/>
            <w:tcBorders/>
            <w:vAlign w:val="center"/>
          </w:tcPr>
          <w:p>
            <w:pPr>
              <w:pStyle w:val="TableContents"/>
              <w:bidi w:val="0"/>
              <w:spacing w:before="0" w:after="283"/>
              <w:jc w:val="right"/>
              <w:rPr/>
            </w:pPr>
            <w:r>
              <w:rPr>
                <w:strike/>
                <w:color w:val="FF0000"/>
                <w:sz w:val="20"/>
              </w:rPr>
              <w:t>64</w:t>
            </w:r>
            <w:r>
              <w:rPr>
                <w:color w:val="0000FF"/>
                <w:u w:val="single"/>
              </w:rPr>
              <w:t>90</w:t>
            </w:r>
          </w:p>
        </w:tc>
      </w:tr>
      <w:tr>
        <w:trPr/>
        <w:tc>
          <w:tcPr>
            <w:tcW w:w="475" w:type="dxa"/>
            <w:tcBorders/>
            <w:vAlign w:val="center"/>
          </w:tcPr>
          <w:p>
            <w:pPr>
              <w:pStyle w:val="TableContents"/>
              <w:bidi w:val="0"/>
              <w:spacing w:before="0" w:after="283"/>
              <w:jc w:val="left"/>
              <w:rPr>
                <w:sz w:val="20"/>
              </w:rPr>
            </w:pPr>
            <w:r>
              <w:rPr>
                <w:sz w:val="20"/>
              </w:rPr>
              <w:t>6.7</w:t>
            </w:r>
          </w:p>
        </w:tc>
        <w:tc>
          <w:tcPr>
            <w:tcW w:w="4434" w:type="dxa"/>
            <w:tcBorders/>
            <w:vAlign w:val="center"/>
          </w:tcPr>
          <w:p>
            <w:pPr>
              <w:pStyle w:val="TableContents"/>
              <w:bidi w:val="0"/>
              <w:spacing w:before="0" w:after="283"/>
              <w:jc w:val="left"/>
              <w:rPr>
                <w:sz w:val="20"/>
              </w:rPr>
            </w:pPr>
            <w:r>
              <w:rPr>
                <w:sz w:val="20"/>
              </w:rPr>
              <w:t>Compliance with Laws</w:t>
            </w:r>
          </w:p>
        </w:tc>
        <w:tc>
          <w:tcPr>
            <w:tcW w:w="485" w:type="dxa"/>
            <w:tcBorders/>
            <w:vAlign w:val="center"/>
          </w:tcPr>
          <w:p>
            <w:pPr>
              <w:pStyle w:val="TableContents"/>
              <w:bidi w:val="0"/>
              <w:spacing w:before="0" w:after="283"/>
              <w:jc w:val="right"/>
              <w:rPr/>
            </w:pPr>
            <w:r>
              <w:rPr>
                <w:strike/>
                <w:color w:val="FF0000"/>
                <w:sz w:val="20"/>
              </w:rPr>
              <w:t>65</w:t>
            </w:r>
            <w:r>
              <w:rPr>
                <w:color w:val="0000FF"/>
                <w:u w:val="single"/>
              </w:rPr>
              <w:t>90</w:t>
            </w:r>
          </w:p>
        </w:tc>
      </w:tr>
      <w:tr>
        <w:trPr/>
        <w:tc>
          <w:tcPr>
            <w:tcW w:w="475" w:type="dxa"/>
            <w:tcBorders/>
            <w:vAlign w:val="center"/>
          </w:tcPr>
          <w:p>
            <w:pPr>
              <w:pStyle w:val="TableContents"/>
              <w:bidi w:val="0"/>
              <w:spacing w:before="0" w:after="283"/>
              <w:jc w:val="left"/>
              <w:rPr>
                <w:sz w:val="20"/>
              </w:rPr>
            </w:pPr>
            <w:r>
              <w:rPr>
                <w:sz w:val="20"/>
              </w:rPr>
              <w:t>6.8</w:t>
            </w:r>
          </w:p>
        </w:tc>
        <w:tc>
          <w:tcPr>
            <w:tcW w:w="4434" w:type="dxa"/>
            <w:tcBorders/>
            <w:vAlign w:val="center"/>
          </w:tcPr>
          <w:p>
            <w:pPr>
              <w:pStyle w:val="TableContents"/>
              <w:bidi w:val="0"/>
              <w:spacing w:before="0" w:after="283"/>
              <w:jc w:val="left"/>
              <w:rPr>
                <w:sz w:val="20"/>
              </w:rPr>
            </w:pPr>
            <w:r>
              <w:rPr>
                <w:sz w:val="20"/>
              </w:rPr>
              <w:t>Maintenance of Properties</w:t>
            </w:r>
          </w:p>
        </w:tc>
        <w:tc>
          <w:tcPr>
            <w:tcW w:w="485" w:type="dxa"/>
            <w:tcBorders/>
            <w:vAlign w:val="center"/>
          </w:tcPr>
          <w:p>
            <w:pPr>
              <w:pStyle w:val="TableContents"/>
              <w:bidi w:val="0"/>
              <w:spacing w:before="0" w:after="283"/>
              <w:jc w:val="right"/>
              <w:rPr/>
            </w:pPr>
            <w:r>
              <w:rPr>
                <w:strike/>
                <w:color w:val="FF0000"/>
                <w:sz w:val="20"/>
              </w:rPr>
              <w:t>65</w:t>
            </w:r>
            <w:r>
              <w:rPr>
                <w:color w:val="0000FF"/>
                <w:u w:val="single"/>
              </w:rPr>
              <w:t>90</w:t>
            </w:r>
          </w:p>
        </w:tc>
      </w:tr>
      <w:tr>
        <w:trPr/>
        <w:tc>
          <w:tcPr>
            <w:tcW w:w="475" w:type="dxa"/>
            <w:tcBorders/>
            <w:vAlign w:val="center"/>
          </w:tcPr>
          <w:p>
            <w:pPr>
              <w:pStyle w:val="TableContents"/>
              <w:bidi w:val="0"/>
              <w:spacing w:before="0" w:after="283"/>
              <w:jc w:val="left"/>
              <w:rPr>
                <w:sz w:val="20"/>
              </w:rPr>
            </w:pPr>
            <w:r>
              <w:rPr>
                <w:sz w:val="20"/>
              </w:rPr>
              <w:t>6.9</w:t>
            </w:r>
          </w:p>
        </w:tc>
        <w:tc>
          <w:tcPr>
            <w:tcW w:w="4434" w:type="dxa"/>
            <w:tcBorders/>
            <w:vAlign w:val="center"/>
          </w:tcPr>
          <w:p>
            <w:pPr>
              <w:pStyle w:val="TableContents"/>
              <w:bidi w:val="0"/>
              <w:spacing w:before="0" w:after="283"/>
              <w:jc w:val="left"/>
              <w:rPr>
                <w:sz w:val="20"/>
              </w:rPr>
            </w:pPr>
            <w:r>
              <w:rPr>
                <w:sz w:val="20"/>
              </w:rPr>
              <w:t>Inspection</w:t>
            </w:r>
          </w:p>
        </w:tc>
        <w:tc>
          <w:tcPr>
            <w:tcW w:w="485" w:type="dxa"/>
            <w:tcBorders/>
            <w:vAlign w:val="center"/>
          </w:tcPr>
          <w:p>
            <w:pPr>
              <w:pStyle w:val="TableContents"/>
              <w:bidi w:val="0"/>
              <w:spacing w:before="0" w:after="283"/>
              <w:jc w:val="right"/>
              <w:rPr/>
            </w:pPr>
            <w:r>
              <w:rPr>
                <w:strike/>
                <w:color w:val="FF0000"/>
                <w:sz w:val="20"/>
              </w:rPr>
              <w:t>65</w:t>
            </w:r>
            <w:r>
              <w:rPr>
                <w:color w:val="0000FF"/>
                <w:u w:val="single"/>
              </w:rPr>
              <w:t>90</w:t>
            </w:r>
          </w:p>
        </w:tc>
      </w:tr>
      <w:tr>
        <w:trPr/>
        <w:tc>
          <w:tcPr>
            <w:tcW w:w="475" w:type="dxa"/>
            <w:tcBorders/>
            <w:vAlign w:val="center"/>
          </w:tcPr>
          <w:p>
            <w:pPr>
              <w:pStyle w:val="TableContents"/>
              <w:bidi w:val="0"/>
              <w:spacing w:before="0" w:after="283"/>
              <w:jc w:val="left"/>
              <w:rPr>
                <w:sz w:val="20"/>
              </w:rPr>
            </w:pPr>
            <w:r>
              <w:rPr>
                <w:sz w:val="20"/>
              </w:rPr>
              <w:t>6.10</w:t>
            </w:r>
          </w:p>
        </w:tc>
        <w:tc>
          <w:tcPr>
            <w:tcW w:w="4434" w:type="dxa"/>
            <w:tcBorders/>
            <w:vAlign w:val="center"/>
          </w:tcPr>
          <w:p>
            <w:pPr>
              <w:pStyle w:val="TableContents"/>
              <w:bidi w:val="0"/>
              <w:spacing w:before="0" w:after="283"/>
              <w:jc w:val="left"/>
              <w:rPr>
                <w:sz w:val="20"/>
              </w:rPr>
            </w:pPr>
            <w:r>
              <w:rPr>
                <w:sz w:val="20"/>
              </w:rPr>
              <w:t>Depository</w:t>
            </w:r>
          </w:p>
        </w:tc>
        <w:tc>
          <w:tcPr>
            <w:tcW w:w="485" w:type="dxa"/>
            <w:tcBorders/>
            <w:vAlign w:val="center"/>
          </w:tcPr>
          <w:p>
            <w:pPr>
              <w:pStyle w:val="TableContents"/>
              <w:bidi w:val="0"/>
              <w:spacing w:before="0" w:after="283"/>
              <w:jc w:val="right"/>
              <w:rPr/>
            </w:pPr>
            <w:r>
              <w:rPr>
                <w:strike/>
                <w:color w:val="FF0000"/>
                <w:sz w:val="20"/>
              </w:rPr>
              <w:t>65</w:t>
            </w:r>
            <w:r>
              <w:rPr>
                <w:color w:val="0000FF"/>
                <w:u w:val="single"/>
              </w:rPr>
              <w:t>90</w:t>
            </w:r>
          </w:p>
        </w:tc>
      </w:tr>
      <w:tr>
        <w:trPr/>
        <w:tc>
          <w:tcPr>
            <w:tcW w:w="475" w:type="dxa"/>
            <w:tcBorders/>
            <w:vAlign w:val="center"/>
          </w:tcPr>
          <w:p>
            <w:pPr>
              <w:pStyle w:val="TableContents"/>
              <w:bidi w:val="0"/>
              <w:spacing w:before="0" w:after="283"/>
              <w:jc w:val="left"/>
              <w:rPr>
                <w:sz w:val="20"/>
              </w:rPr>
            </w:pPr>
            <w:r>
              <w:rPr>
                <w:sz w:val="20"/>
              </w:rPr>
              <w:t>6.11</w:t>
            </w:r>
          </w:p>
        </w:tc>
        <w:tc>
          <w:tcPr>
            <w:tcW w:w="4434" w:type="dxa"/>
            <w:tcBorders/>
            <w:vAlign w:val="center"/>
          </w:tcPr>
          <w:p>
            <w:pPr>
              <w:pStyle w:val="TableContents"/>
              <w:bidi w:val="0"/>
              <w:spacing w:before="0" w:after="283"/>
              <w:jc w:val="left"/>
              <w:rPr>
                <w:sz w:val="20"/>
              </w:rPr>
            </w:pPr>
            <w:r>
              <w:rPr>
                <w:sz w:val="20"/>
              </w:rPr>
              <w:t>Indebtedness</w:t>
            </w:r>
          </w:p>
        </w:tc>
        <w:tc>
          <w:tcPr>
            <w:tcW w:w="485" w:type="dxa"/>
            <w:tcBorders/>
            <w:vAlign w:val="center"/>
          </w:tcPr>
          <w:p>
            <w:pPr>
              <w:pStyle w:val="TableContents"/>
              <w:bidi w:val="0"/>
              <w:spacing w:before="0" w:after="283"/>
              <w:jc w:val="right"/>
              <w:rPr/>
            </w:pPr>
            <w:r>
              <w:rPr>
                <w:strike/>
                <w:color w:val="FF0000"/>
                <w:sz w:val="20"/>
              </w:rPr>
              <w:t>65</w:t>
            </w:r>
            <w:r>
              <w:rPr>
                <w:color w:val="0000FF"/>
                <w:u w:val="single"/>
              </w:rPr>
              <w:t>90</w:t>
            </w:r>
          </w:p>
        </w:tc>
      </w:tr>
      <w:tr>
        <w:trPr/>
        <w:tc>
          <w:tcPr>
            <w:tcW w:w="475" w:type="dxa"/>
            <w:tcBorders/>
            <w:vAlign w:val="center"/>
          </w:tcPr>
          <w:p>
            <w:pPr>
              <w:pStyle w:val="TableContents"/>
              <w:bidi w:val="0"/>
              <w:spacing w:before="0" w:after="283"/>
              <w:jc w:val="left"/>
              <w:rPr>
                <w:sz w:val="20"/>
              </w:rPr>
            </w:pPr>
            <w:r>
              <w:rPr>
                <w:sz w:val="20"/>
              </w:rPr>
              <w:t>6.12</w:t>
            </w:r>
          </w:p>
        </w:tc>
        <w:tc>
          <w:tcPr>
            <w:tcW w:w="4434" w:type="dxa"/>
            <w:tcBorders/>
            <w:vAlign w:val="center"/>
          </w:tcPr>
          <w:p>
            <w:pPr>
              <w:pStyle w:val="TableContents"/>
              <w:bidi w:val="0"/>
              <w:spacing w:before="0" w:after="283"/>
              <w:jc w:val="left"/>
              <w:rPr>
                <w:sz w:val="20"/>
              </w:rPr>
            </w:pPr>
            <w:r>
              <w:rPr>
                <w:sz w:val="20"/>
              </w:rPr>
              <w:t>Merger</w:t>
            </w:r>
          </w:p>
        </w:tc>
        <w:tc>
          <w:tcPr>
            <w:tcW w:w="485" w:type="dxa"/>
            <w:tcBorders/>
            <w:vAlign w:val="center"/>
          </w:tcPr>
          <w:p>
            <w:pPr>
              <w:pStyle w:val="TableContents"/>
              <w:bidi w:val="0"/>
              <w:spacing w:before="0" w:after="283"/>
              <w:jc w:val="right"/>
              <w:rPr/>
            </w:pPr>
            <w:r>
              <w:rPr>
                <w:strike/>
                <w:color w:val="FF0000"/>
                <w:sz w:val="20"/>
              </w:rPr>
              <w:t>66</w:t>
            </w:r>
            <w:r>
              <w:rPr>
                <w:color w:val="0000FF"/>
                <w:u w:val="single"/>
              </w:rPr>
              <w:t>93</w:t>
            </w:r>
          </w:p>
        </w:tc>
      </w:tr>
      <w:tr>
        <w:trPr/>
        <w:tc>
          <w:tcPr>
            <w:tcW w:w="475" w:type="dxa"/>
            <w:tcBorders/>
            <w:vAlign w:val="center"/>
          </w:tcPr>
          <w:p>
            <w:pPr>
              <w:pStyle w:val="TableContents"/>
              <w:bidi w:val="0"/>
              <w:spacing w:before="0" w:after="283"/>
              <w:jc w:val="left"/>
              <w:rPr>
                <w:sz w:val="20"/>
              </w:rPr>
            </w:pPr>
            <w:r>
              <w:rPr>
                <w:sz w:val="20"/>
              </w:rPr>
              <w:t>6.13</w:t>
            </w:r>
          </w:p>
        </w:tc>
        <w:tc>
          <w:tcPr>
            <w:tcW w:w="4434" w:type="dxa"/>
            <w:tcBorders/>
            <w:vAlign w:val="center"/>
          </w:tcPr>
          <w:p>
            <w:pPr>
              <w:pStyle w:val="TableContents"/>
              <w:bidi w:val="0"/>
              <w:spacing w:before="0" w:after="283"/>
              <w:jc w:val="left"/>
              <w:rPr>
                <w:sz w:val="20"/>
              </w:rPr>
            </w:pPr>
            <w:r>
              <w:rPr>
                <w:sz w:val="20"/>
              </w:rPr>
              <w:t>Sale of Assets</w:t>
            </w:r>
          </w:p>
        </w:tc>
        <w:tc>
          <w:tcPr>
            <w:tcW w:w="485" w:type="dxa"/>
            <w:tcBorders/>
            <w:vAlign w:val="center"/>
          </w:tcPr>
          <w:p>
            <w:pPr>
              <w:pStyle w:val="TableContents"/>
              <w:bidi w:val="0"/>
              <w:spacing w:before="0" w:after="283"/>
              <w:jc w:val="right"/>
              <w:rPr/>
            </w:pPr>
            <w:r>
              <w:rPr>
                <w:strike/>
                <w:color w:val="FF0000"/>
                <w:sz w:val="20"/>
              </w:rPr>
              <w:t>67</w:t>
            </w:r>
            <w:r>
              <w:rPr>
                <w:color w:val="0000FF"/>
                <w:u w:val="single"/>
              </w:rPr>
              <w:t>93</w:t>
            </w:r>
          </w:p>
        </w:tc>
      </w:tr>
      <w:tr>
        <w:trPr/>
        <w:tc>
          <w:tcPr>
            <w:tcW w:w="475" w:type="dxa"/>
            <w:tcBorders/>
            <w:vAlign w:val="center"/>
          </w:tcPr>
          <w:p>
            <w:pPr>
              <w:pStyle w:val="TableContents"/>
              <w:bidi w:val="0"/>
              <w:spacing w:before="0" w:after="283"/>
              <w:jc w:val="left"/>
              <w:rPr>
                <w:sz w:val="20"/>
              </w:rPr>
            </w:pPr>
            <w:r>
              <w:rPr>
                <w:sz w:val="20"/>
              </w:rPr>
              <w:t>6.14</w:t>
            </w:r>
          </w:p>
        </w:tc>
        <w:tc>
          <w:tcPr>
            <w:tcW w:w="4434" w:type="dxa"/>
            <w:tcBorders/>
            <w:vAlign w:val="center"/>
          </w:tcPr>
          <w:p>
            <w:pPr>
              <w:pStyle w:val="TableContents"/>
              <w:bidi w:val="0"/>
              <w:spacing w:before="0" w:after="283"/>
              <w:jc w:val="left"/>
              <w:rPr>
                <w:sz w:val="20"/>
              </w:rPr>
            </w:pPr>
            <w:r>
              <w:rPr>
                <w:sz w:val="20"/>
              </w:rPr>
              <w:t>Investments and Acquisitions</w:t>
            </w:r>
          </w:p>
        </w:tc>
        <w:tc>
          <w:tcPr>
            <w:tcW w:w="485" w:type="dxa"/>
            <w:tcBorders/>
            <w:vAlign w:val="center"/>
          </w:tcPr>
          <w:p>
            <w:pPr>
              <w:pStyle w:val="TableContents"/>
              <w:bidi w:val="0"/>
              <w:spacing w:before="0" w:after="283"/>
              <w:jc w:val="right"/>
              <w:rPr/>
            </w:pPr>
            <w:r>
              <w:rPr>
                <w:strike/>
                <w:color w:val="FF0000"/>
                <w:sz w:val="20"/>
              </w:rPr>
              <w:t>68</w:t>
            </w:r>
            <w:r>
              <w:rPr>
                <w:color w:val="0000FF"/>
                <w:u w:val="single"/>
              </w:rPr>
              <w:t>95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29" w:type="dxa"/>
        <w:jc w:val="left"/>
        <w:tblInd w:w="0" w:type="dxa"/>
        <w:tblLayout w:type="fixed"/>
        <w:tblCellMar>
          <w:top w:w="0" w:type="dxa"/>
          <w:left w:w="0" w:type="dxa"/>
          <w:bottom w:w="0" w:type="dxa"/>
          <w:right w:w="0" w:type="dxa"/>
        </w:tblCellMar>
      </w:tblPr>
      <w:tblGrid>
        <w:gridCol w:w="428"/>
        <w:gridCol w:w="6596"/>
        <w:gridCol w:w="605"/>
      </w:tblGrid>
      <w:tr>
        <w:trPr/>
        <w:tc>
          <w:tcPr>
            <w:tcW w:w="428" w:type="dxa"/>
            <w:tcBorders/>
            <w:vAlign w:val="center"/>
          </w:tcPr>
          <w:p>
            <w:pPr>
              <w:pStyle w:val="TableContents"/>
              <w:bidi w:val="0"/>
              <w:spacing w:before="0" w:after="283"/>
              <w:jc w:val="left"/>
              <w:rPr>
                <w:sz w:val="20"/>
              </w:rPr>
            </w:pPr>
            <w:r>
              <w:rPr>
                <w:sz w:val="20"/>
              </w:rPr>
              <w:t>6.15</w:t>
            </w:r>
          </w:p>
        </w:tc>
        <w:tc>
          <w:tcPr>
            <w:tcW w:w="6596" w:type="dxa"/>
            <w:tcBorders/>
            <w:vAlign w:val="center"/>
          </w:tcPr>
          <w:p>
            <w:pPr>
              <w:pStyle w:val="TableContents"/>
              <w:bidi w:val="0"/>
              <w:spacing w:before="0" w:after="283"/>
              <w:jc w:val="left"/>
              <w:rPr>
                <w:sz w:val="20"/>
              </w:rPr>
            </w:pPr>
            <w:r>
              <w:rPr>
                <w:sz w:val="20"/>
              </w:rPr>
              <w:t>Liens</w:t>
            </w:r>
          </w:p>
        </w:tc>
        <w:tc>
          <w:tcPr>
            <w:tcW w:w="605" w:type="dxa"/>
            <w:tcBorders/>
            <w:vAlign w:val="center"/>
          </w:tcPr>
          <w:p>
            <w:pPr>
              <w:pStyle w:val="TableContents"/>
              <w:bidi w:val="0"/>
              <w:spacing w:before="0" w:after="283"/>
              <w:jc w:val="right"/>
              <w:rPr/>
            </w:pPr>
            <w:r>
              <w:rPr>
                <w:strike/>
                <w:color w:val="FF0000"/>
                <w:sz w:val="20"/>
              </w:rPr>
              <w:t>68</w:t>
            </w:r>
            <w:r>
              <w:rPr>
                <w:color w:val="0000FF"/>
                <w:u w:val="single"/>
              </w:rPr>
              <w:t>97</w:t>
            </w:r>
          </w:p>
        </w:tc>
      </w:tr>
      <w:tr>
        <w:trPr/>
        <w:tc>
          <w:tcPr>
            <w:tcW w:w="428" w:type="dxa"/>
            <w:tcBorders/>
            <w:vAlign w:val="center"/>
          </w:tcPr>
          <w:p>
            <w:pPr>
              <w:pStyle w:val="TableContents"/>
              <w:bidi w:val="0"/>
              <w:spacing w:before="0" w:after="283"/>
              <w:jc w:val="left"/>
              <w:rPr>
                <w:sz w:val="20"/>
              </w:rPr>
            </w:pPr>
            <w:r>
              <w:rPr>
                <w:sz w:val="20"/>
              </w:rPr>
              <w:t>6.16</w:t>
            </w:r>
          </w:p>
        </w:tc>
        <w:tc>
          <w:tcPr>
            <w:tcW w:w="6596" w:type="dxa"/>
            <w:tcBorders/>
            <w:vAlign w:val="center"/>
          </w:tcPr>
          <w:p>
            <w:pPr>
              <w:pStyle w:val="TableContents"/>
              <w:bidi w:val="0"/>
              <w:spacing w:before="0" w:after="283"/>
              <w:jc w:val="left"/>
              <w:rPr>
                <w:sz w:val="20"/>
              </w:rPr>
            </w:pPr>
            <w:r>
              <w:rPr>
                <w:sz w:val="20"/>
              </w:rPr>
              <w:t>Negative Pledges</w:t>
            </w:r>
          </w:p>
        </w:tc>
        <w:tc>
          <w:tcPr>
            <w:tcW w:w="605" w:type="dxa"/>
            <w:tcBorders/>
            <w:vAlign w:val="center"/>
          </w:tcPr>
          <w:p>
            <w:pPr>
              <w:pStyle w:val="TableContents"/>
              <w:bidi w:val="0"/>
              <w:spacing w:before="0" w:after="283"/>
              <w:jc w:val="right"/>
              <w:rPr/>
            </w:pPr>
            <w:r>
              <w:rPr>
                <w:strike/>
                <w:color w:val="FF0000"/>
                <w:sz w:val="20"/>
              </w:rPr>
              <w:t>71</w:t>
            </w:r>
            <w:r>
              <w:rPr>
                <w:color w:val="0000FF"/>
                <w:u w:val="single"/>
              </w:rPr>
              <w:t>100</w:t>
            </w:r>
          </w:p>
        </w:tc>
      </w:tr>
      <w:tr>
        <w:trPr/>
        <w:tc>
          <w:tcPr>
            <w:tcW w:w="428" w:type="dxa"/>
            <w:tcBorders/>
            <w:vAlign w:val="center"/>
          </w:tcPr>
          <w:p>
            <w:pPr>
              <w:pStyle w:val="TableContents"/>
              <w:bidi w:val="0"/>
              <w:spacing w:before="0" w:after="283"/>
              <w:jc w:val="left"/>
              <w:rPr>
                <w:sz w:val="20"/>
              </w:rPr>
            </w:pPr>
            <w:r>
              <w:rPr>
                <w:sz w:val="20"/>
              </w:rPr>
              <w:t>6.17</w:t>
            </w:r>
          </w:p>
        </w:tc>
        <w:tc>
          <w:tcPr>
            <w:tcW w:w="6596" w:type="dxa"/>
            <w:tcBorders/>
            <w:vAlign w:val="center"/>
          </w:tcPr>
          <w:p>
            <w:pPr>
              <w:pStyle w:val="TableContents"/>
              <w:bidi w:val="0"/>
              <w:spacing w:before="0" w:after="283"/>
              <w:jc w:val="left"/>
              <w:rPr>
                <w:sz w:val="20"/>
              </w:rPr>
            </w:pPr>
            <w:r>
              <w:rPr>
                <w:sz w:val="20"/>
              </w:rPr>
              <w:t>Affiliates</w:t>
            </w:r>
          </w:p>
        </w:tc>
        <w:tc>
          <w:tcPr>
            <w:tcW w:w="605" w:type="dxa"/>
            <w:tcBorders/>
            <w:vAlign w:val="center"/>
          </w:tcPr>
          <w:p>
            <w:pPr>
              <w:pStyle w:val="TableContents"/>
              <w:bidi w:val="0"/>
              <w:spacing w:before="0" w:after="283"/>
              <w:jc w:val="right"/>
              <w:rPr/>
            </w:pPr>
            <w:r>
              <w:rPr>
                <w:strike/>
                <w:color w:val="FF0000"/>
                <w:sz w:val="20"/>
              </w:rPr>
              <w:t>71</w:t>
            </w:r>
            <w:r>
              <w:rPr>
                <w:color w:val="0000FF"/>
                <w:u w:val="single"/>
              </w:rPr>
              <w:t>100</w:t>
            </w:r>
          </w:p>
        </w:tc>
      </w:tr>
      <w:tr>
        <w:trPr/>
        <w:tc>
          <w:tcPr>
            <w:tcW w:w="428" w:type="dxa"/>
            <w:tcBorders/>
            <w:vAlign w:val="center"/>
          </w:tcPr>
          <w:p>
            <w:pPr>
              <w:pStyle w:val="TableContents"/>
              <w:bidi w:val="0"/>
              <w:spacing w:before="0" w:after="283"/>
              <w:jc w:val="left"/>
              <w:rPr>
                <w:sz w:val="20"/>
              </w:rPr>
            </w:pPr>
            <w:r>
              <w:rPr>
                <w:sz w:val="20"/>
              </w:rPr>
              <w:t>6.18</w:t>
            </w:r>
          </w:p>
        </w:tc>
        <w:tc>
          <w:tcPr>
            <w:tcW w:w="6596" w:type="dxa"/>
            <w:tcBorders/>
            <w:vAlign w:val="center"/>
          </w:tcPr>
          <w:p>
            <w:pPr>
              <w:pStyle w:val="TableContents"/>
              <w:bidi w:val="0"/>
              <w:spacing w:before="0" w:after="283"/>
              <w:jc w:val="left"/>
              <w:rPr>
                <w:sz w:val="20"/>
              </w:rPr>
            </w:pPr>
            <w:r>
              <w:rPr>
                <w:sz w:val="20"/>
              </w:rPr>
              <w:t>Non-Loan Party Transactions</w:t>
            </w:r>
          </w:p>
        </w:tc>
        <w:tc>
          <w:tcPr>
            <w:tcW w:w="605" w:type="dxa"/>
            <w:tcBorders/>
            <w:vAlign w:val="center"/>
          </w:tcPr>
          <w:p>
            <w:pPr>
              <w:pStyle w:val="TableContents"/>
              <w:bidi w:val="0"/>
              <w:spacing w:before="0" w:after="283"/>
              <w:jc w:val="right"/>
              <w:rPr/>
            </w:pPr>
            <w:r>
              <w:rPr>
                <w:strike/>
                <w:color w:val="FF0000"/>
                <w:sz w:val="20"/>
              </w:rPr>
              <w:t>72</w:t>
            </w:r>
            <w:r>
              <w:rPr>
                <w:color w:val="0000FF"/>
                <w:u w:val="single"/>
              </w:rPr>
              <w:t>101</w:t>
            </w:r>
          </w:p>
        </w:tc>
      </w:tr>
      <w:tr>
        <w:trPr/>
        <w:tc>
          <w:tcPr>
            <w:tcW w:w="428" w:type="dxa"/>
            <w:tcBorders/>
            <w:vAlign w:val="center"/>
          </w:tcPr>
          <w:p>
            <w:pPr>
              <w:pStyle w:val="TableContents"/>
              <w:bidi w:val="0"/>
              <w:spacing w:before="0" w:after="283"/>
              <w:jc w:val="left"/>
              <w:rPr>
                <w:sz w:val="20"/>
              </w:rPr>
            </w:pPr>
            <w:r>
              <w:rPr>
                <w:sz w:val="20"/>
              </w:rPr>
              <w:t>6.19</w:t>
            </w:r>
          </w:p>
        </w:tc>
        <w:tc>
          <w:tcPr>
            <w:tcW w:w="6596" w:type="dxa"/>
            <w:tcBorders/>
            <w:vAlign w:val="center"/>
          </w:tcPr>
          <w:p>
            <w:pPr>
              <w:pStyle w:val="TableContents"/>
              <w:bidi w:val="0"/>
              <w:spacing w:before="0" w:after="283"/>
              <w:jc w:val="left"/>
              <w:rPr>
                <w:sz w:val="20"/>
              </w:rPr>
            </w:pPr>
            <w:r>
              <w:rPr>
                <w:sz w:val="20"/>
              </w:rPr>
              <w:t>Financial Covenants</w:t>
            </w:r>
          </w:p>
        </w:tc>
        <w:tc>
          <w:tcPr>
            <w:tcW w:w="605" w:type="dxa"/>
            <w:tcBorders/>
            <w:vAlign w:val="center"/>
          </w:tcPr>
          <w:p>
            <w:pPr>
              <w:pStyle w:val="TableContents"/>
              <w:bidi w:val="0"/>
              <w:spacing w:before="0" w:after="283"/>
              <w:jc w:val="right"/>
              <w:rPr/>
            </w:pPr>
            <w:r>
              <w:rPr>
                <w:strike/>
                <w:color w:val="FF0000"/>
                <w:sz w:val="20"/>
              </w:rPr>
              <w:t>72</w:t>
            </w:r>
            <w:r>
              <w:rPr>
                <w:color w:val="0000FF"/>
                <w:u w:val="single"/>
              </w:rPr>
              <w:t>102</w:t>
            </w:r>
          </w:p>
        </w:tc>
      </w:tr>
      <w:tr>
        <w:trPr/>
        <w:tc>
          <w:tcPr>
            <w:tcW w:w="428" w:type="dxa"/>
            <w:tcBorders/>
            <w:vAlign w:val="center"/>
          </w:tcPr>
          <w:p>
            <w:pPr>
              <w:pStyle w:val="TableContents"/>
              <w:bidi w:val="0"/>
              <w:spacing w:before="0" w:after="283"/>
              <w:jc w:val="left"/>
              <w:rPr>
                <w:sz w:val="20"/>
              </w:rPr>
            </w:pPr>
            <w:r>
              <w:rPr>
                <w:sz w:val="20"/>
              </w:rPr>
              <w:t>6.20</w:t>
            </w:r>
          </w:p>
        </w:tc>
        <w:tc>
          <w:tcPr>
            <w:tcW w:w="6596" w:type="dxa"/>
            <w:tcBorders/>
            <w:vAlign w:val="center"/>
          </w:tcPr>
          <w:p>
            <w:pPr>
              <w:pStyle w:val="TableContents"/>
              <w:bidi w:val="0"/>
              <w:spacing w:before="0" w:after="283"/>
              <w:jc w:val="left"/>
              <w:rPr>
                <w:sz w:val="20"/>
              </w:rPr>
            </w:pPr>
            <w:r>
              <w:rPr>
                <w:sz w:val="20"/>
              </w:rPr>
              <w:t>Subsidiaries as Guarantors</w:t>
            </w:r>
          </w:p>
        </w:tc>
        <w:tc>
          <w:tcPr>
            <w:tcW w:w="605" w:type="dxa"/>
            <w:tcBorders/>
            <w:vAlign w:val="center"/>
          </w:tcPr>
          <w:p>
            <w:pPr>
              <w:pStyle w:val="TableContents"/>
              <w:bidi w:val="0"/>
              <w:spacing w:before="0" w:after="283"/>
              <w:jc w:val="right"/>
              <w:rPr/>
            </w:pPr>
            <w:r>
              <w:rPr>
                <w:strike/>
                <w:color w:val="FF0000"/>
                <w:sz w:val="20"/>
              </w:rPr>
              <w:t>73</w:t>
            </w:r>
            <w:r>
              <w:rPr>
                <w:color w:val="0000FF"/>
                <w:u w:val="single"/>
              </w:rPr>
              <w:t>102</w:t>
            </w:r>
          </w:p>
        </w:tc>
      </w:tr>
      <w:tr>
        <w:trPr/>
        <w:tc>
          <w:tcPr>
            <w:tcW w:w="428" w:type="dxa"/>
            <w:tcBorders/>
            <w:vAlign w:val="center"/>
          </w:tcPr>
          <w:p>
            <w:pPr>
              <w:pStyle w:val="TableContents"/>
              <w:bidi w:val="0"/>
              <w:spacing w:before="0" w:after="283"/>
              <w:jc w:val="left"/>
              <w:rPr>
                <w:sz w:val="20"/>
              </w:rPr>
            </w:pPr>
            <w:r>
              <w:rPr>
                <w:sz w:val="20"/>
              </w:rPr>
              <w:t>6.21</w:t>
            </w:r>
          </w:p>
        </w:tc>
        <w:tc>
          <w:tcPr>
            <w:tcW w:w="6596" w:type="dxa"/>
            <w:tcBorders/>
            <w:vAlign w:val="center"/>
          </w:tcPr>
          <w:p>
            <w:pPr>
              <w:pStyle w:val="TableContents"/>
              <w:bidi w:val="0"/>
              <w:spacing w:before="0" w:after="283"/>
              <w:jc w:val="left"/>
              <w:rPr>
                <w:sz w:val="20"/>
              </w:rPr>
            </w:pPr>
            <w:r>
              <w:rPr>
                <w:sz w:val="20"/>
              </w:rPr>
              <w:t>Restricted Payments</w:t>
            </w:r>
          </w:p>
        </w:tc>
        <w:tc>
          <w:tcPr>
            <w:tcW w:w="605" w:type="dxa"/>
            <w:tcBorders/>
            <w:vAlign w:val="center"/>
          </w:tcPr>
          <w:p>
            <w:pPr>
              <w:pStyle w:val="TableContents"/>
              <w:bidi w:val="0"/>
              <w:spacing w:before="0" w:after="283"/>
              <w:jc w:val="right"/>
              <w:rPr/>
            </w:pPr>
            <w:r>
              <w:rPr>
                <w:strike/>
                <w:color w:val="FF0000"/>
                <w:sz w:val="20"/>
              </w:rPr>
              <w:t>73</w:t>
            </w:r>
            <w:r>
              <w:rPr>
                <w:color w:val="0000FF"/>
                <w:u w:val="single"/>
              </w:rPr>
              <w:t>103</w:t>
            </w:r>
          </w:p>
        </w:tc>
      </w:tr>
      <w:tr>
        <w:trPr/>
        <w:tc>
          <w:tcPr>
            <w:tcW w:w="428" w:type="dxa"/>
            <w:tcBorders/>
            <w:vAlign w:val="center"/>
          </w:tcPr>
          <w:p>
            <w:pPr>
              <w:pStyle w:val="TableContents"/>
              <w:bidi w:val="0"/>
              <w:spacing w:before="0" w:after="283"/>
              <w:jc w:val="left"/>
              <w:rPr>
                <w:sz w:val="20"/>
              </w:rPr>
            </w:pPr>
            <w:r>
              <w:rPr>
                <w:sz w:val="20"/>
              </w:rPr>
              <w:t>6.22</w:t>
            </w:r>
          </w:p>
        </w:tc>
        <w:tc>
          <w:tcPr>
            <w:tcW w:w="6596" w:type="dxa"/>
            <w:tcBorders/>
            <w:vAlign w:val="center"/>
          </w:tcPr>
          <w:p>
            <w:pPr>
              <w:pStyle w:val="TableContents"/>
              <w:bidi w:val="0"/>
              <w:spacing w:before="0" w:after="283"/>
              <w:jc w:val="left"/>
              <w:rPr>
                <w:sz w:val="20"/>
              </w:rPr>
            </w:pPr>
            <w:r>
              <w:rPr>
                <w:sz w:val="20"/>
              </w:rPr>
              <w:t>Corporate Changes</w:t>
            </w:r>
          </w:p>
        </w:tc>
        <w:tc>
          <w:tcPr>
            <w:tcW w:w="605" w:type="dxa"/>
            <w:tcBorders/>
            <w:vAlign w:val="center"/>
          </w:tcPr>
          <w:p>
            <w:pPr>
              <w:pStyle w:val="TableContents"/>
              <w:bidi w:val="0"/>
              <w:spacing w:before="0" w:after="283"/>
              <w:jc w:val="right"/>
              <w:rPr/>
            </w:pPr>
            <w:r>
              <w:rPr>
                <w:strike/>
                <w:color w:val="FF0000"/>
                <w:sz w:val="20"/>
              </w:rPr>
              <w:t>74</w:t>
            </w:r>
            <w:r>
              <w:rPr>
                <w:color w:val="0000FF"/>
                <w:u w:val="single"/>
              </w:rPr>
              <w:t>104</w:t>
            </w:r>
          </w:p>
        </w:tc>
      </w:tr>
      <w:tr>
        <w:trPr/>
        <w:tc>
          <w:tcPr>
            <w:tcW w:w="428" w:type="dxa"/>
            <w:tcBorders/>
            <w:vAlign w:val="center"/>
          </w:tcPr>
          <w:p>
            <w:pPr>
              <w:pStyle w:val="TableContents"/>
              <w:bidi w:val="0"/>
              <w:spacing w:before="0" w:after="283"/>
              <w:jc w:val="left"/>
              <w:rPr>
                <w:sz w:val="20"/>
              </w:rPr>
            </w:pPr>
            <w:r>
              <w:rPr>
                <w:sz w:val="20"/>
              </w:rPr>
              <w:t>6.23</w:t>
            </w:r>
          </w:p>
        </w:tc>
        <w:tc>
          <w:tcPr>
            <w:tcW w:w="6596" w:type="dxa"/>
            <w:tcBorders/>
            <w:vAlign w:val="center"/>
          </w:tcPr>
          <w:p>
            <w:pPr>
              <w:pStyle w:val="TableContents"/>
              <w:bidi w:val="0"/>
              <w:spacing w:before="0" w:after="283"/>
              <w:jc w:val="left"/>
              <w:rPr>
                <w:sz w:val="20"/>
              </w:rPr>
            </w:pPr>
            <w:r>
              <w:rPr>
                <w:sz w:val="20"/>
              </w:rPr>
              <w:t>Books and Records</w:t>
            </w:r>
          </w:p>
        </w:tc>
        <w:tc>
          <w:tcPr>
            <w:tcW w:w="605" w:type="dxa"/>
            <w:tcBorders/>
            <w:vAlign w:val="center"/>
          </w:tcPr>
          <w:p>
            <w:pPr>
              <w:pStyle w:val="TableContents"/>
              <w:bidi w:val="0"/>
              <w:spacing w:before="0" w:after="283"/>
              <w:jc w:val="right"/>
              <w:rPr/>
            </w:pPr>
            <w:r>
              <w:rPr>
                <w:strike/>
                <w:color w:val="FF0000"/>
                <w:sz w:val="20"/>
              </w:rPr>
              <w:t>74</w:t>
            </w:r>
            <w:r>
              <w:rPr>
                <w:color w:val="0000FF"/>
                <w:u w:val="single"/>
              </w:rPr>
              <w:t>104</w:t>
            </w:r>
          </w:p>
        </w:tc>
      </w:tr>
      <w:tr>
        <w:trPr/>
        <w:tc>
          <w:tcPr>
            <w:tcW w:w="428" w:type="dxa"/>
            <w:tcBorders/>
            <w:vAlign w:val="center"/>
          </w:tcPr>
          <w:p>
            <w:pPr>
              <w:pStyle w:val="TableContents"/>
              <w:bidi w:val="0"/>
              <w:spacing w:before="0" w:after="283"/>
              <w:jc w:val="left"/>
              <w:rPr>
                <w:sz w:val="20"/>
              </w:rPr>
            </w:pPr>
            <w:r>
              <w:rPr>
                <w:sz w:val="20"/>
              </w:rPr>
              <w:t>6.24</w:t>
            </w:r>
          </w:p>
        </w:tc>
        <w:tc>
          <w:tcPr>
            <w:tcW w:w="6596" w:type="dxa"/>
            <w:tcBorders/>
            <w:vAlign w:val="center"/>
          </w:tcPr>
          <w:p>
            <w:pPr>
              <w:pStyle w:val="TableContents"/>
              <w:bidi w:val="0"/>
              <w:spacing w:before="0" w:after="283"/>
              <w:jc w:val="left"/>
              <w:rPr>
                <w:sz w:val="20"/>
              </w:rPr>
            </w:pPr>
            <w:r>
              <w:rPr>
                <w:sz w:val="20"/>
              </w:rPr>
              <w:t>Public/Private Designation</w:t>
            </w:r>
          </w:p>
        </w:tc>
        <w:tc>
          <w:tcPr>
            <w:tcW w:w="605" w:type="dxa"/>
            <w:tcBorders/>
            <w:vAlign w:val="center"/>
          </w:tcPr>
          <w:p>
            <w:pPr>
              <w:pStyle w:val="TableContents"/>
              <w:bidi w:val="0"/>
              <w:spacing w:before="0" w:after="283"/>
              <w:jc w:val="right"/>
              <w:rPr/>
            </w:pPr>
            <w:r>
              <w:rPr>
                <w:strike/>
                <w:color w:val="FF0000"/>
                <w:sz w:val="20"/>
              </w:rPr>
              <w:t>74</w:t>
            </w:r>
            <w:r>
              <w:rPr>
                <w:color w:val="0000FF"/>
                <w:u w:val="single"/>
              </w:rPr>
              <w:t>104</w:t>
            </w:r>
          </w:p>
        </w:tc>
      </w:tr>
      <w:tr>
        <w:trPr/>
        <w:tc>
          <w:tcPr>
            <w:tcW w:w="428" w:type="dxa"/>
            <w:tcBorders/>
            <w:vAlign w:val="center"/>
          </w:tcPr>
          <w:p>
            <w:pPr>
              <w:pStyle w:val="TableContents"/>
              <w:bidi w:val="0"/>
              <w:spacing w:before="0" w:after="283"/>
              <w:jc w:val="left"/>
              <w:rPr/>
            </w:pPr>
            <w:r>
              <w:rPr/>
              <w:t> </w:t>
            </w:r>
          </w:p>
        </w:tc>
        <w:tc>
          <w:tcPr>
            <w:tcW w:w="65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024" w:type="dxa"/>
            <w:gridSpan w:val="2"/>
            <w:tcBorders/>
            <w:vAlign w:val="center"/>
          </w:tcPr>
          <w:p>
            <w:pPr>
              <w:pStyle w:val="TableContents"/>
              <w:bidi w:val="0"/>
              <w:spacing w:before="0" w:after="283"/>
              <w:jc w:val="left"/>
              <w:rPr>
                <w:b/>
                <w:caps/>
                <w:sz w:val="20"/>
              </w:rPr>
            </w:pPr>
            <w:r>
              <w:rPr>
                <w:b/>
                <w:caps/>
                <w:sz w:val="20"/>
              </w:rPr>
              <w:t>Article VII. DEFAULTS</w:t>
            </w:r>
          </w:p>
        </w:tc>
        <w:tc>
          <w:tcPr>
            <w:tcW w:w="605" w:type="dxa"/>
            <w:tcBorders/>
            <w:vAlign w:val="center"/>
          </w:tcPr>
          <w:p>
            <w:pPr>
              <w:pStyle w:val="TableContents"/>
              <w:bidi w:val="0"/>
              <w:spacing w:before="0" w:after="283"/>
              <w:jc w:val="right"/>
              <w:rPr/>
            </w:pPr>
            <w:r>
              <w:rPr>
                <w:b/>
                <w:caps/>
                <w:strike/>
                <w:color w:val="FF0000"/>
                <w:sz w:val="20"/>
              </w:rPr>
              <w:t>74</w:t>
            </w:r>
            <w:r>
              <w:rPr>
                <w:b/>
                <w:color w:val="0000FF"/>
                <w:u w:val="single"/>
              </w:rPr>
              <w:t>104</w:t>
            </w:r>
          </w:p>
        </w:tc>
      </w:tr>
      <w:tr>
        <w:trPr/>
        <w:tc>
          <w:tcPr>
            <w:tcW w:w="428" w:type="dxa"/>
            <w:tcBorders/>
            <w:vAlign w:val="center"/>
          </w:tcPr>
          <w:p>
            <w:pPr>
              <w:pStyle w:val="TableContents"/>
              <w:bidi w:val="0"/>
              <w:spacing w:before="0" w:after="283"/>
              <w:jc w:val="left"/>
              <w:rPr>
                <w:sz w:val="20"/>
              </w:rPr>
            </w:pPr>
            <w:r>
              <w:rPr>
                <w:sz w:val="20"/>
              </w:rPr>
              <w:t>7.1</w:t>
            </w:r>
          </w:p>
        </w:tc>
        <w:tc>
          <w:tcPr>
            <w:tcW w:w="6596" w:type="dxa"/>
            <w:tcBorders/>
            <w:vAlign w:val="center"/>
          </w:tcPr>
          <w:p>
            <w:pPr>
              <w:pStyle w:val="TableContents"/>
              <w:bidi w:val="0"/>
              <w:spacing w:before="0" w:after="283"/>
              <w:jc w:val="left"/>
              <w:rPr>
                <w:sz w:val="20"/>
              </w:rPr>
            </w:pPr>
            <w:r>
              <w:rPr>
                <w:sz w:val="20"/>
              </w:rPr>
              <w:t>Misrepresentations</w:t>
            </w:r>
          </w:p>
        </w:tc>
        <w:tc>
          <w:tcPr>
            <w:tcW w:w="605" w:type="dxa"/>
            <w:tcBorders/>
            <w:vAlign w:val="center"/>
          </w:tcPr>
          <w:p>
            <w:pPr>
              <w:pStyle w:val="TableContents"/>
              <w:bidi w:val="0"/>
              <w:spacing w:before="0" w:after="283"/>
              <w:jc w:val="right"/>
              <w:rPr/>
            </w:pPr>
            <w:r>
              <w:rPr>
                <w:strike/>
                <w:color w:val="FF0000"/>
                <w:sz w:val="20"/>
              </w:rPr>
              <w:t>74</w:t>
            </w:r>
            <w:r>
              <w:rPr>
                <w:color w:val="0000FF"/>
                <w:u w:val="single"/>
              </w:rPr>
              <w:t>104</w:t>
            </w:r>
          </w:p>
        </w:tc>
      </w:tr>
      <w:tr>
        <w:trPr/>
        <w:tc>
          <w:tcPr>
            <w:tcW w:w="428" w:type="dxa"/>
            <w:tcBorders/>
            <w:vAlign w:val="center"/>
          </w:tcPr>
          <w:p>
            <w:pPr>
              <w:pStyle w:val="TableContents"/>
              <w:bidi w:val="0"/>
              <w:spacing w:before="0" w:after="283"/>
              <w:jc w:val="left"/>
              <w:rPr>
                <w:sz w:val="20"/>
              </w:rPr>
            </w:pPr>
            <w:r>
              <w:rPr>
                <w:sz w:val="20"/>
              </w:rPr>
              <w:t>7.2</w:t>
            </w:r>
          </w:p>
        </w:tc>
        <w:tc>
          <w:tcPr>
            <w:tcW w:w="6596" w:type="dxa"/>
            <w:tcBorders/>
            <w:vAlign w:val="center"/>
          </w:tcPr>
          <w:p>
            <w:pPr>
              <w:pStyle w:val="TableContents"/>
              <w:bidi w:val="0"/>
              <w:spacing w:before="0" w:after="283"/>
              <w:jc w:val="left"/>
              <w:rPr>
                <w:sz w:val="20"/>
              </w:rPr>
            </w:pPr>
            <w:r>
              <w:rPr>
                <w:sz w:val="20"/>
              </w:rPr>
              <w:t>Nonpayment of Obligations</w:t>
            </w:r>
          </w:p>
        </w:tc>
        <w:tc>
          <w:tcPr>
            <w:tcW w:w="605" w:type="dxa"/>
            <w:tcBorders/>
            <w:vAlign w:val="center"/>
          </w:tcPr>
          <w:p>
            <w:pPr>
              <w:pStyle w:val="TableContents"/>
              <w:bidi w:val="0"/>
              <w:spacing w:before="0" w:after="283"/>
              <w:jc w:val="right"/>
              <w:rPr/>
            </w:pPr>
            <w:r>
              <w:rPr>
                <w:strike/>
                <w:color w:val="FF0000"/>
                <w:sz w:val="20"/>
              </w:rPr>
              <w:t>74</w:t>
            </w:r>
            <w:r>
              <w:rPr>
                <w:color w:val="0000FF"/>
                <w:u w:val="single"/>
              </w:rPr>
              <w:t>105</w:t>
            </w:r>
          </w:p>
        </w:tc>
      </w:tr>
      <w:tr>
        <w:trPr/>
        <w:tc>
          <w:tcPr>
            <w:tcW w:w="428" w:type="dxa"/>
            <w:tcBorders/>
            <w:vAlign w:val="center"/>
          </w:tcPr>
          <w:p>
            <w:pPr>
              <w:pStyle w:val="TableContents"/>
              <w:bidi w:val="0"/>
              <w:spacing w:before="0" w:after="283"/>
              <w:jc w:val="left"/>
              <w:rPr>
                <w:sz w:val="20"/>
              </w:rPr>
            </w:pPr>
            <w:r>
              <w:rPr>
                <w:sz w:val="20"/>
              </w:rPr>
              <w:t>7.3</w:t>
            </w:r>
          </w:p>
        </w:tc>
        <w:tc>
          <w:tcPr>
            <w:tcW w:w="6596" w:type="dxa"/>
            <w:tcBorders/>
            <w:vAlign w:val="center"/>
          </w:tcPr>
          <w:p>
            <w:pPr>
              <w:pStyle w:val="TableContents"/>
              <w:bidi w:val="0"/>
              <w:spacing w:before="0" w:after="283"/>
              <w:jc w:val="left"/>
              <w:rPr>
                <w:sz w:val="20"/>
              </w:rPr>
            </w:pPr>
            <w:r>
              <w:rPr>
                <w:sz w:val="20"/>
              </w:rPr>
              <w:t>Breach of Covenants</w:t>
            </w:r>
          </w:p>
        </w:tc>
        <w:tc>
          <w:tcPr>
            <w:tcW w:w="605" w:type="dxa"/>
            <w:tcBorders/>
            <w:vAlign w:val="center"/>
          </w:tcPr>
          <w:p>
            <w:pPr>
              <w:pStyle w:val="TableContents"/>
              <w:bidi w:val="0"/>
              <w:spacing w:before="0" w:after="283"/>
              <w:jc w:val="right"/>
              <w:rPr/>
            </w:pPr>
            <w:r>
              <w:rPr>
                <w:strike/>
                <w:color w:val="FF0000"/>
                <w:sz w:val="20"/>
              </w:rPr>
              <w:t>75</w:t>
            </w:r>
            <w:r>
              <w:rPr>
                <w:color w:val="0000FF"/>
                <w:u w:val="single"/>
              </w:rPr>
              <w:t>105</w:t>
            </w:r>
          </w:p>
        </w:tc>
      </w:tr>
      <w:tr>
        <w:trPr/>
        <w:tc>
          <w:tcPr>
            <w:tcW w:w="428" w:type="dxa"/>
            <w:tcBorders/>
            <w:vAlign w:val="center"/>
          </w:tcPr>
          <w:p>
            <w:pPr>
              <w:pStyle w:val="TableContents"/>
              <w:bidi w:val="0"/>
              <w:spacing w:before="0" w:after="283"/>
              <w:jc w:val="left"/>
              <w:rPr>
                <w:sz w:val="20"/>
              </w:rPr>
            </w:pPr>
            <w:r>
              <w:rPr>
                <w:sz w:val="20"/>
              </w:rPr>
              <w:t>7.4</w:t>
            </w:r>
          </w:p>
        </w:tc>
        <w:tc>
          <w:tcPr>
            <w:tcW w:w="6596" w:type="dxa"/>
            <w:tcBorders/>
            <w:vAlign w:val="center"/>
          </w:tcPr>
          <w:p>
            <w:pPr>
              <w:pStyle w:val="TableContents"/>
              <w:bidi w:val="0"/>
              <w:spacing w:before="0" w:after="283"/>
              <w:jc w:val="left"/>
              <w:rPr>
                <w:sz w:val="20"/>
              </w:rPr>
            </w:pPr>
            <w:r>
              <w:rPr>
                <w:sz w:val="20"/>
              </w:rPr>
              <w:t>Bankruptcy Default</w:t>
            </w:r>
          </w:p>
        </w:tc>
        <w:tc>
          <w:tcPr>
            <w:tcW w:w="605" w:type="dxa"/>
            <w:tcBorders/>
            <w:vAlign w:val="center"/>
          </w:tcPr>
          <w:p>
            <w:pPr>
              <w:pStyle w:val="TableContents"/>
              <w:bidi w:val="0"/>
              <w:spacing w:before="0" w:after="283"/>
              <w:jc w:val="right"/>
              <w:rPr/>
            </w:pPr>
            <w:r>
              <w:rPr>
                <w:strike/>
                <w:color w:val="FF0000"/>
                <w:sz w:val="20"/>
              </w:rPr>
              <w:t>75</w:t>
            </w:r>
            <w:r>
              <w:rPr>
                <w:color w:val="0000FF"/>
                <w:u w:val="single"/>
              </w:rPr>
              <w:t>105</w:t>
            </w:r>
          </w:p>
        </w:tc>
      </w:tr>
      <w:tr>
        <w:trPr/>
        <w:tc>
          <w:tcPr>
            <w:tcW w:w="428" w:type="dxa"/>
            <w:tcBorders/>
            <w:vAlign w:val="center"/>
          </w:tcPr>
          <w:p>
            <w:pPr>
              <w:pStyle w:val="TableContents"/>
              <w:bidi w:val="0"/>
              <w:spacing w:before="0" w:after="283"/>
              <w:jc w:val="left"/>
              <w:rPr>
                <w:sz w:val="20"/>
              </w:rPr>
            </w:pPr>
            <w:r>
              <w:rPr>
                <w:sz w:val="20"/>
              </w:rPr>
              <w:t>7.5</w:t>
            </w:r>
          </w:p>
        </w:tc>
        <w:tc>
          <w:tcPr>
            <w:tcW w:w="6596"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jc w:val="right"/>
              <w:rPr/>
            </w:pPr>
            <w:r>
              <w:rPr>
                <w:strike/>
                <w:color w:val="FF0000"/>
                <w:sz w:val="20"/>
              </w:rPr>
              <w:t>75</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7.6</w:t>
            </w:r>
          </w:p>
        </w:tc>
        <w:tc>
          <w:tcPr>
            <w:tcW w:w="6596" w:type="dxa"/>
            <w:tcBorders/>
            <w:vAlign w:val="center"/>
          </w:tcPr>
          <w:p>
            <w:pPr>
              <w:pStyle w:val="TableContents"/>
              <w:bidi w:val="0"/>
              <w:spacing w:before="0" w:after="283"/>
              <w:jc w:val="left"/>
              <w:rPr>
                <w:sz w:val="20"/>
              </w:rPr>
            </w:pPr>
            <w:r>
              <w:rPr>
                <w:sz w:val="20"/>
              </w:rPr>
              <w:t>Other Indebtedness</w:t>
            </w:r>
          </w:p>
        </w:tc>
        <w:tc>
          <w:tcPr>
            <w:tcW w:w="605" w:type="dxa"/>
            <w:tcBorders/>
            <w:vAlign w:val="center"/>
          </w:tcPr>
          <w:p>
            <w:pPr>
              <w:pStyle w:val="TableContents"/>
              <w:bidi w:val="0"/>
              <w:spacing w:before="0" w:after="283"/>
              <w:jc w:val="right"/>
              <w:rPr/>
            </w:pPr>
            <w:r>
              <w:rPr>
                <w:strike/>
                <w:color w:val="FF0000"/>
                <w:sz w:val="20"/>
              </w:rPr>
              <w:t>75</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7.7</w:t>
            </w:r>
          </w:p>
        </w:tc>
        <w:tc>
          <w:tcPr>
            <w:tcW w:w="6596"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7.8</w:t>
            </w:r>
          </w:p>
        </w:tc>
        <w:tc>
          <w:tcPr>
            <w:tcW w:w="6596"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7.9</w:t>
            </w:r>
          </w:p>
        </w:tc>
        <w:tc>
          <w:tcPr>
            <w:tcW w:w="6596" w:type="dxa"/>
            <w:tcBorders/>
            <w:vAlign w:val="center"/>
          </w:tcPr>
          <w:p>
            <w:pPr>
              <w:pStyle w:val="TableContents"/>
              <w:bidi w:val="0"/>
              <w:spacing w:before="0" w:after="283"/>
              <w:jc w:val="left"/>
              <w:rPr>
                <w:sz w:val="20"/>
              </w:rPr>
            </w:pPr>
            <w:r>
              <w:rPr>
                <w:sz w:val="20"/>
              </w:rPr>
              <w:t>Invalidity of Guaranty</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7.10</w:t>
            </w:r>
          </w:p>
        </w:tc>
        <w:tc>
          <w:tcPr>
            <w:tcW w:w="6596" w:type="dxa"/>
            <w:tcBorders/>
            <w:vAlign w:val="center"/>
          </w:tcPr>
          <w:p>
            <w:pPr>
              <w:pStyle w:val="TableContents"/>
              <w:bidi w:val="0"/>
              <w:spacing w:before="0" w:after="283"/>
              <w:jc w:val="left"/>
              <w:rPr>
                <w:sz w:val="20"/>
              </w:rPr>
            </w:pPr>
            <w:r>
              <w:rPr>
                <w:sz w:val="20"/>
              </w:rPr>
              <w:t>Change in Control</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7.11</w:t>
            </w:r>
          </w:p>
        </w:tc>
        <w:tc>
          <w:tcPr>
            <w:tcW w:w="6596" w:type="dxa"/>
            <w:tcBorders/>
            <w:vAlign w:val="center"/>
          </w:tcPr>
          <w:p>
            <w:pPr>
              <w:pStyle w:val="TableContents"/>
              <w:bidi w:val="0"/>
              <w:spacing w:before="0" w:after="283"/>
              <w:jc w:val="left"/>
              <w:rPr>
                <w:sz w:val="20"/>
              </w:rPr>
            </w:pPr>
            <w:r>
              <w:rPr>
                <w:sz w:val="20"/>
              </w:rPr>
              <w:t>Judgment Default</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7.12</w:t>
            </w:r>
          </w:p>
        </w:tc>
        <w:tc>
          <w:tcPr>
            <w:tcW w:w="6596" w:type="dxa"/>
            <w:tcBorders/>
            <w:vAlign w:val="center"/>
          </w:tcPr>
          <w:p>
            <w:pPr>
              <w:pStyle w:val="TableContents"/>
              <w:bidi w:val="0"/>
              <w:spacing w:before="0" w:after="283"/>
              <w:jc w:val="left"/>
              <w:rPr>
                <w:sz w:val="20"/>
              </w:rPr>
            </w:pPr>
            <w:r>
              <w:rPr>
                <w:sz w:val="20"/>
              </w:rPr>
              <w:t>ERISA Default</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7.13</w:t>
            </w:r>
          </w:p>
        </w:tc>
        <w:tc>
          <w:tcPr>
            <w:tcW w:w="6596"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7.14</w:t>
            </w:r>
          </w:p>
        </w:tc>
        <w:tc>
          <w:tcPr>
            <w:tcW w:w="6596"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106</w:t>
            </w:r>
          </w:p>
        </w:tc>
      </w:tr>
      <w:tr>
        <w:trPr/>
        <w:tc>
          <w:tcPr>
            <w:tcW w:w="428" w:type="dxa"/>
            <w:tcBorders/>
            <w:vAlign w:val="center"/>
          </w:tcPr>
          <w:p>
            <w:pPr>
              <w:pStyle w:val="TableContents"/>
              <w:bidi w:val="0"/>
              <w:spacing w:before="0" w:after="283"/>
              <w:jc w:val="left"/>
              <w:rPr>
                <w:sz w:val="20"/>
              </w:rPr>
            </w:pPr>
            <w:r>
              <w:rPr>
                <w:sz w:val="20"/>
              </w:rPr>
              <w:t>7.15</w:t>
            </w:r>
          </w:p>
        </w:tc>
        <w:tc>
          <w:tcPr>
            <w:tcW w:w="6596" w:type="dxa"/>
            <w:tcBorders/>
            <w:vAlign w:val="center"/>
          </w:tcPr>
          <w:p>
            <w:pPr>
              <w:pStyle w:val="TableContents"/>
              <w:bidi w:val="0"/>
              <w:spacing w:before="0" w:after="283"/>
              <w:jc w:val="left"/>
              <w:rPr>
                <w:sz w:val="20"/>
              </w:rPr>
            </w:pPr>
            <w:r>
              <w:rPr>
                <w:sz w:val="20"/>
              </w:rPr>
              <w:t>Reviews and/or Fines</w:t>
            </w:r>
          </w:p>
        </w:tc>
        <w:tc>
          <w:tcPr>
            <w:tcW w:w="605" w:type="dxa"/>
            <w:tcBorders/>
            <w:vAlign w:val="center"/>
          </w:tcPr>
          <w:p>
            <w:pPr>
              <w:pStyle w:val="TableContents"/>
              <w:bidi w:val="0"/>
              <w:spacing w:before="0" w:after="283"/>
              <w:jc w:val="right"/>
              <w:rPr/>
            </w:pPr>
            <w:r>
              <w:rPr>
                <w:strike/>
                <w:color w:val="FF0000"/>
                <w:sz w:val="20"/>
              </w:rPr>
              <w:t>76</w:t>
            </w:r>
            <w:r>
              <w:rPr>
                <w:color w:val="0000FF"/>
                <w:u w:val="single"/>
              </w:rPr>
              <w:t>107</w:t>
            </w:r>
          </w:p>
        </w:tc>
      </w:tr>
      <w:tr>
        <w:trPr/>
        <w:tc>
          <w:tcPr>
            <w:tcW w:w="428" w:type="dxa"/>
            <w:tcBorders/>
            <w:vAlign w:val="center"/>
          </w:tcPr>
          <w:p>
            <w:pPr>
              <w:pStyle w:val="TableContents"/>
              <w:bidi w:val="0"/>
              <w:spacing w:before="0" w:after="283"/>
              <w:jc w:val="left"/>
              <w:rPr/>
            </w:pPr>
            <w:r>
              <w:rPr/>
              <w:t> </w:t>
            </w:r>
          </w:p>
        </w:tc>
        <w:tc>
          <w:tcPr>
            <w:tcW w:w="65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024" w:type="dxa"/>
            <w:gridSpan w:val="2"/>
            <w:tcBorders/>
            <w:vAlign w:val="center"/>
          </w:tcPr>
          <w:p>
            <w:pPr>
              <w:pStyle w:val="TableContents"/>
              <w:bidi w:val="0"/>
              <w:spacing w:before="0" w:after="283"/>
              <w:jc w:val="left"/>
              <w:rPr>
                <w:b/>
                <w:caps/>
                <w:sz w:val="20"/>
              </w:rPr>
            </w:pPr>
            <w:r>
              <w:rPr>
                <w:b/>
                <w:caps/>
                <w:sz w:val="20"/>
              </w:rPr>
              <w:t>Article VIII. ACCELERATION, WAIVERS, AMENDMENTS AND REMEDIES</w:t>
            </w:r>
          </w:p>
        </w:tc>
        <w:tc>
          <w:tcPr>
            <w:tcW w:w="605" w:type="dxa"/>
            <w:tcBorders/>
            <w:vAlign w:val="center"/>
          </w:tcPr>
          <w:p>
            <w:pPr>
              <w:pStyle w:val="TableContents"/>
              <w:bidi w:val="0"/>
              <w:spacing w:before="0" w:after="283"/>
              <w:jc w:val="right"/>
              <w:rPr/>
            </w:pPr>
            <w:r>
              <w:rPr>
                <w:b/>
                <w:caps/>
                <w:strike/>
                <w:color w:val="FF0000"/>
                <w:sz w:val="20"/>
              </w:rPr>
              <w:t>77</w:t>
            </w:r>
            <w:r>
              <w:rPr>
                <w:b/>
                <w:color w:val="0000FF"/>
                <w:u w:val="single"/>
              </w:rPr>
              <w:t>107</w:t>
            </w:r>
          </w:p>
        </w:tc>
      </w:tr>
      <w:tr>
        <w:trPr/>
        <w:tc>
          <w:tcPr>
            <w:tcW w:w="428" w:type="dxa"/>
            <w:tcBorders/>
            <w:vAlign w:val="center"/>
          </w:tcPr>
          <w:p>
            <w:pPr>
              <w:pStyle w:val="TableContents"/>
              <w:bidi w:val="0"/>
              <w:spacing w:before="0" w:after="283"/>
              <w:jc w:val="left"/>
              <w:rPr>
                <w:sz w:val="20"/>
              </w:rPr>
            </w:pPr>
            <w:r>
              <w:rPr>
                <w:sz w:val="20"/>
              </w:rPr>
              <w:t>8.1</w:t>
            </w:r>
          </w:p>
        </w:tc>
        <w:tc>
          <w:tcPr>
            <w:tcW w:w="6596" w:type="dxa"/>
            <w:tcBorders/>
            <w:vAlign w:val="center"/>
          </w:tcPr>
          <w:p>
            <w:pPr>
              <w:pStyle w:val="TableContents"/>
              <w:bidi w:val="0"/>
              <w:spacing w:before="0" w:after="283"/>
              <w:jc w:val="left"/>
              <w:rPr>
                <w:sz w:val="20"/>
              </w:rPr>
            </w:pPr>
            <w:r>
              <w:rPr>
                <w:sz w:val="20"/>
              </w:rPr>
              <w:t>Acceleration</w:t>
            </w:r>
          </w:p>
        </w:tc>
        <w:tc>
          <w:tcPr>
            <w:tcW w:w="605" w:type="dxa"/>
            <w:tcBorders/>
            <w:vAlign w:val="center"/>
          </w:tcPr>
          <w:p>
            <w:pPr>
              <w:pStyle w:val="TableContents"/>
              <w:bidi w:val="0"/>
              <w:spacing w:before="0" w:after="283"/>
              <w:jc w:val="right"/>
              <w:rPr/>
            </w:pPr>
            <w:r>
              <w:rPr>
                <w:strike/>
                <w:color w:val="FF0000"/>
                <w:sz w:val="20"/>
              </w:rPr>
              <w:t>77</w:t>
            </w:r>
            <w:r>
              <w:rPr>
                <w:color w:val="0000FF"/>
                <w:u w:val="single"/>
              </w:rPr>
              <w:t>107</w:t>
            </w:r>
          </w:p>
        </w:tc>
      </w:tr>
      <w:tr>
        <w:trPr/>
        <w:tc>
          <w:tcPr>
            <w:tcW w:w="428" w:type="dxa"/>
            <w:tcBorders/>
            <w:vAlign w:val="center"/>
          </w:tcPr>
          <w:p>
            <w:pPr>
              <w:pStyle w:val="TableContents"/>
              <w:bidi w:val="0"/>
              <w:spacing w:before="0" w:after="283"/>
              <w:jc w:val="left"/>
              <w:rPr>
                <w:sz w:val="20"/>
              </w:rPr>
            </w:pPr>
            <w:r>
              <w:rPr>
                <w:sz w:val="20"/>
              </w:rPr>
              <w:t>8.2</w:t>
            </w:r>
          </w:p>
        </w:tc>
        <w:tc>
          <w:tcPr>
            <w:tcW w:w="6596" w:type="dxa"/>
            <w:tcBorders/>
            <w:vAlign w:val="center"/>
          </w:tcPr>
          <w:p>
            <w:pPr>
              <w:pStyle w:val="TableContents"/>
              <w:bidi w:val="0"/>
              <w:spacing w:before="0" w:after="283"/>
              <w:jc w:val="left"/>
              <w:rPr>
                <w:sz w:val="20"/>
              </w:rPr>
            </w:pPr>
            <w:r>
              <w:rPr>
                <w:sz w:val="20"/>
              </w:rPr>
              <w:t>Amendments</w:t>
            </w:r>
          </w:p>
        </w:tc>
        <w:tc>
          <w:tcPr>
            <w:tcW w:w="605" w:type="dxa"/>
            <w:tcBorders/>
            <w:vAlign w:val="center"/>
          </w:tcPr>
          <w:p>
            <w:pPr>
              <w:pStyle w:val="TableContents"/>
              <w:bidi w:val="0"/>
              <w:spacing w:before="0" w:after="283"/>
              <w:jc w:val="right"/>
              <w:rPr/>
            </w:pPr>
            <w:r>
              <w:rPr>
                <w:strike/>
                <w:color w:val="FF0000"/>
                <w:sz w:val="20"/>
              </w:rPr>
              <w:t>77</w:t>
            </w:r>
            <w:r>
              <w:rPr>
                <w:color w:val="0000FF"/>
                <w:u w:val="single"/>
              </w:rPr>
              <w:t>107</w:t>
            </w:r>
          </w:p>
        </w:tc>
      </w:tr>
      <w:tr>
        <w:trPr/>
        <w:tc>
          <w:tcPr>
            <w:tcW w:w="428" w:type="dxa"/>
            <w:tcBorders/>
            <w:vAlign w:val="center"/>
          </w:tcPr>
          <w:p>
            <w:pPr>
              <w:pStyle w:val="TableContents"/>
              <w:bidi w:val="0"/>
              <w:spacing w:before="0" w:after="283"/>
              <w:jc w:val="left"/>
              <w:rPr>
                <w:sz w:val="20"/>
              </w:rPr>
            </w:pPr>
            <w:r>
              <w:rPr>
                <w:sz w:val="20"/>
              </w:rPr>
              <w:t>8.3</w:t>
            </w:r>
          </w:p>
        </w:tc>
        <w:tc>
          <w:tcPr>
            <w:tcW w:w="6596" w:type="dxa"/>
            <w:tcBorders/>
            <w:vAlign w:val="center"/>
          </w:tcPr>
          <w:p>
            <w:pPr>
              <w:pStyle w:val="TableContents"/>
              <w:bidi w:val="0"/>
              <w:spacing w:before="0" w:after="283"/>
              <w:jc w:val="left"/>
              <w:rPr>
                <w:sz w:val="20"/>
              </w:rPr>
            </w:pPr>
            <w:r>
              <w:rPr>
                <w:sz w:val="20"/>
              </w:rPr>
              <w:t>Preservation of Rights</w:t>
            </w:r>
          </w:p>
        </w:tc>
        <w:tc>
          <w:tcPr>
            <w:tcW w:w="605" w:type="dxa"/>
            <w:tcBorders/>
            <w:vAlign w:val="center"/>
          </w:tcPr>
          <w:p>
            <w:pPr>
              <w:pStyle w:val="TableContents"/>
              <w:bidi w:val="0"/>
              <w:spacing w:before="0" w:after="283"/>
              <w:jc w:val="right"/>
              <w:rPr/>
            </w:pPr>
            <w:r>
              <w:rPr>
                <w:strike/>
                <w:color w:val="FF0000"/>
                <w:sz w:val="20"/>
              </w:rPr>
              <w:t>78</w:t>
            </w:r>
            <w:r>
              <w:rPr>
                <w:color w:val="0000FF"/>
                <w:u w:val="single"/>
              </w:rPr>
              <w:t>109</w:t>
            </w:r>
          </w:p>
        </w:tc>
      </w:tr>
      <w:tr>
        <w:trPr/>
        <w:tc>
          <w:tcPr>
            <w:tcW w:w="428" w:type="dxa"/>
            <w:tcBorders/>
            <w:vAlign w:val="center"/>
          </w:tcPr>
          <w:p>
            <w:pPr>
              <w:pStyle w:val="TableContents"/>
              <w:bidi w:val="0"/>
              <w:spacing w:before="0" w:after="283"/>
              <w:jc w:val="left"/>
              <w:rPr/>
            </w:pPr>
            <w:r>
              <w:rPr/>
              <w:t> </w:t>
            </w:r>
          </w:p>
        </w:tc>
        <w:tc>
          <w:tcPr>
            <w:tcW w:w="65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024" w:type="dxa"/>
            <w:gridSpan w:val="2"/>
            <w:tcBorders/>
            <w:vAlign w:val="center"/>
          </w:tcPr>
          <w:p>
            <w:pPr>
              <w:pStyle w:val="TableContents"/>
              <w:bidi w:val="0"/>
              <w:spacing w:before="0" w:after="283"/>
              <w:jc w:val="left"/>
              <w:rPr>
                <w:b/>
                <w:caps/>
                <w:sz w:val="20"/>
              </w:rPr>
            </w:pPr>
            <w:r>
              <w:rPr>
                <w:b/>
                <w:caps/>
                <w:sz w:val="20"/>
              </w:rPr>
              <w:t>Article IX. GENERAL PROVISIONS</w:t>
            </w:r>
          </w:p>
        </w:tc>
        <w:tc>
          <w:tcPr>
            <w:tcW w:w="605" w:type="dxa"/>
            <w:tcBorders/>
            <w:vAlign w:val="center"/>
          </w:tcPr>
          <w:p>
            <w:pPr>
              <w:pStyle w:val="TableContents"/>
              <w:bidi w:val="0"/>
              <w:spacing w:before="0" w:after="283"/>
              <w:jc w:val="right"/>
              <w:rPr/>
            </w:pPr>
            <w:r>
              <w:rPr>
                <w:b/>
                <w:caps/>
                <w:strike/>
                <w:color w:val="FF0000"/>
                <w:sz w:val="20"/>
              </w:rPr>
              <w:t>78</w:t>
            </w:r>
            <w:r>
              <w:rPr>
                <w:b/>
                <w:color w:val="0000FF"/>
                <w:u w:val="single"/>
              </w:rPr>
              <w:t>109</w:t>
            </w:r>
          </w:p>
        </w:tc>
      </w:tr>
      <w:tr>
        <w:trPr/>
        <w:tc>
          <w:tcPr>
            <w:tcW w:w="428" w:type="dxa"/>
            <w:tcBorders/>
            <w:vAlign w:val="center"/>
          </w:tcPr>
          <w:p>
            <w:pPr>
              <w:pStyle w:val="TableContents"/>
              <w:bidi w:val="0"/>
              <w:spacing w:before="0" w:after="283"/>
              <w:jc w:val="left"/>
              <w:rPr>
                <w:sz w:val="20"/>
              </w:rPr>
            </w:pPr>
            <w:r>
              <w:rPr>
                <w:sz w:val="20"/>
              </w:rPr>
              <w:t>9.1</w:t>
            </w:r>
          </w:p>
        </w:tc>
        <w:tc>
          <w:tcPr>
            <w:tcW w:w="6596" w:type="dxa"/>
            <w:tcBorders/>
            <w:vAlign w:val="center"/>
          </w:tcPr>
          <w:p>
            <w:pPr>
              <w:pStyle w:val="TableContents"/>
              <w:bidi w:val="0"/>
              <w:spacing w:before="0" w:after="283"/>
              <w:jc w:val="left"/>
              <w:rPr>
                <w:sz w:val="20"/>
              </w:rPr>
            </w:pPr>
            <w:r>
              <w:rPr>
                <w:sz w:val="20"/>
              </w:rPr>
              <w:t>Survival of Representations</w:t>
            </w:r>
          </w:p>
        </w:tc>
        <w:tc>
          <w:tcPr>
            <w:tcW w:w="605" w:type="dxa"/>
            <w:tcBorders/>
            <w:vAlign w:val="center"/>
          </w:tcPr>
          <w:p>
            <w:pPr>
              <w:pStyle w:val="TableContents"/>
              <w:bidi w:val="0"/>
              <w:spacing w:before="0" w:after="283"/>
              <w:jc w:val="right"/>
              <w:rPr/>
            </w:pPr>
            <w:r>
              <w:rPr>
                <w:strike/>
                <w:color w:val="FF0000"/>
                <w:sz w:val="20"/>
              </w:rPr>
              <w:t>78</w:t>
            </w:r>
            <w:r>
              <w:rPr>
                <w:color w:val="0000FF"/>
                <w:u w:val="single"/>
              </w:rPr>
              <w:t>109</w:t>
            </w:r>
          </w:p>
        </w:tc>
      </w:tr>
      <w:tr>
        <w:trPr/>
        <w:tc>
          <w:tcPr>
            <w:tcW w:w="428" w:type="dxa"/>
            <w:tcBorders/>
            <w:vAlign w:val="center"/>
          </w:tcPr>
          <w:p>
            <w:pPr>
              <w:pStyle w:val="TableContents"/>
              <w:bidi w:val="0"/>
              <w:spacing w:before="0" w:after="283"/>
              <w:jc w:val="left"/>
              <w:rPr>
                <w:sz w:val="20"/>
              </w:rPr>
            </w:pPr>
            <w:r>
              <w:rPr>
                <w:sz w:val="20"/>
              </w:rPr>
              <w:t>9.2</w:t>
            </w:r>
          </w:p>
        </w:tc>
        <w:tc>
          <w:tcPr>
            <w:tcW w:w="6596" w:type="dxa"/>
            <w:tcBorders/>
            <w:vAlign w:val="center"/>
          </w:tcPr>
          <w:p>
            <w:pPr>
              <w:pStyle w:val="TableContents"/>
              <w:bidi w:val="0"/>
              <w:spacing w:before="0" w:after="283"/>
              <w:jc w:val="left"/>
              <w:rPr>
                <w:sz w:val="20"/>
              </w:rPr>
            </w:pPr>
            <w:r>
              <w:rPr>
                <w:sz w:val="20"/>
              </w:rPr>
              <w:t>Governmental Regulation</w:t>
            </w:r>
          </w:p>
        </w:tc>
        <w:tc>
          <w:tcPr>
            <w:tcW w:w="605" w:type="dxa"/>
            <w:tcBorders/>
            <w:vAlign w:val="center"/>
          </w:tcPr>
          <w:p>
            <w:pPr>
              <w:pStyle w:val="TableContents"/>
              <w:bidi w:val="0"/>
              <w:spacing w:before="0" w:after="283"/>
              <w:jc w:val="right"/>
              <w:rPr/>
            </w:pPr>
            <w:r>
              <w:rPr>
                <w:strike/>
                <w:color w:val="FF0000"/>
                <w:sz w:val="20"/>
              </w:rPr>
              <w:t>78</w:t>
            </w:r>
            <w:r>
              <w:rPr>
                <w:color w:val="0000FF"/>
                <w:u w:val="single"/>
              </w:rPr>
              <w:t>109</w:t>
            </w:r>
          </w:p>
        </w:tc>
      </w:tr>
      <w:tr>
        <w:trPr/>
        <w:tc>
          <w:tcPr>
            <w:tcW w:w="428" w:type="dxa"/>
            <w:tcBorders/>
            <w:vAlign w:val="center"/>
          </w:tcPr>
          <w:p>
            <w:pPr>
              <w:pStyle w:val="TableContents"/>
              <w:bidi w:val="0"/>
              <w:spacing w:before="0" w:after="283"/>
              <w:jc w:val="left"/>
              <w:rPr>
                <w:sz w:val="20"/>
              </w:rPr>
            </w:pPr>
            <w:r>
              <w:rPr>
                <w:sz w:val="20"/>
              </w:rPr>
              <w:t>9.3</w:t>
            </w:r>
          </w:p>
        </w:tc>
        <w:tc>
          <w:tcPr>
            <w:tcW w:w="6596" w:type="dxa"/>
            <w:tcBorders/>
            <w:vAlign w:val="center"/>
          </w:tcPr>
          <w:p>
            <w:pPr>
              <w:pStyle w:val="TableContents"/>
              <w:bidi w:val="0"/>
              <w:spacing w:before="0" w:after="283"/>
              <w:jc w:val="left"/>
              <w:rPr>
                <w:sz w:val="20"/>
              </w:rPr>
            </w:pPr>
            <w:r>
              <w:rPr>
                <w:sz w:val="20"/>
              </w:rPr>
              <w:t>Headings</w:t>
            </w:r>
          </w:p>
        </w:tc>
        <w:tc>
          <w:tcPr>
            <w:tcW w:w="605" w:type="dxa"/>
            <w:tcBorders/>
            <w:vAlign w:val="center"/>
          </w:tcPr>
          <w:p>
            <w:pPr>
              <w:pStyle w:val="TableContents"/>
              <w:bidi w:val="0"/>
              <w:spacing w:before="0" w:after="283"/>
              <w:jc w:val="right"/>
              <w:rPr/>
            </w:pPr>
            <w:r>
              <w:rPr>
                <w:strike/>
                <w:color w:val="FF0000"/>
                <w:sz w:val="20"/>
              </w:rPr>
              <w:t>79</w:t>
            </w:r>
            <w:r>
              <w:rPr>
                <w:color w:val="0000FF"/>
                <w:u w:val="single"/>
              </w:rPr>
              <w:t>109</w:t>
            </w:r>
          </w:p>
        </w:tc>
      </w:tr>
      <w:tr>
        <w:trPr/>
        <w:tc>
          <w:tcPr>
            <w:tcW w:w="428" w:type="dxa"/>
            <w:tcBorders/>
            <w:vAlign w:val="center"/>
          </w:tcPr>
          <w:p>
            <w:pPr>
              <w:pStyle w:val="TableContents"/>
              <w:bidi w:val="0"/>
              <w:spacing w:before="0" w:after="283"/>
              <w:jc w:val="left"/>
              <w:rPr>
                <w:sz w:val="20"/>
              </w:rPr>
            </w:pPr>
            <w:r>
              <w:rPr>
                <w:sz w:val="20"/>
              </w:rPr>
              <w:t>9.4</w:t>
            </w:r>
          </w:p>
        </w:tc>
        <w:tc>
          <w:tcPr>
            <w:tcW w:w="6596" w:type="dxa"/>
            <w:tcBorders/>
            <w:vAlign w:val="center"/>
          </w:tcPr>
          <w:p>
            <w:pPr>
              <w:pStyle w:val="TableContents"/>
              <w:bidi w:val="0"/>
              <w:spacing w:before="0" w:after="283"/>
              <w:jc w:val="left"/>
              <w:rPr>
                <w:sz w:val="20"/>
              </w:rPr>
            </w:pPr>
            <w:r>
              <w:rPr>
                <w:sz w:val="20"/>
              </w:rPr>
              <w:t>Entire Agreement</w:t>
            </w:r>
          </w:p>
        </w:tc>
        <w:tc>
          <w:tcPr>
            <w:tcW w:w="605" w:type="dxa"/>
            <w:tcBorders/>
            <w:vAlign w:val="center"/>
          </w:tcPr>
          <w:p>
            <w:pPr>
              <w:pStyle w:val="TableContents"/>
              <w:bidi w:val="0"/>
              <w:spacing w:before="0" w:after="283"/>
              <w:jc w:val="right"/>
              <w:rPr/>
            </w:pPr>
            <w:r>
              <w:rPr>
                <w:strike/>
                <w:color w:val="FF0000"/>
                <w:sz w:val="20"/>
              </w:rPr>
              <w:t>79</w:t>
            </w:r>
            <w:r>
              <w:rPr>
                <w:color w:val="0000FF"/>
                <w:u w:val="single"/>
              </w:rPr>
              <w:t>109</w:t>
            </w:r>
          </w:p>
        </w:tc>
      </w:tr>
      <w:tr>
        <w:trPr/>
        <w:tc>
          <w:tcPr>
            <w:tcW w:w="428" w:type="dxa"/>
            <w:tcBorders/>
            <w:vAlign w:val="center"/>
          </w:tcPr>
          <w:p>
            <w:pPr>
              <w:pStyle w:val="TableContents"/>
              <w:bidi w:val="0"/>
              <w:spacing w:before="0" w:after="283"/>
              <w:jc w:val="left"/>
              <w:rPr>
                <w:sz w:val="20"/>
              </w:rPr>
            </w:pPr>
            <w:r>
              <w:rPr>
                <w:sz w:val="20"/>
              </w:rPr>
              <w:t>9.5</w:t>
            </w:r>
          </w:p>
        </w:tc>
        <w:tc>
          <w:tcPr>
            <w:tcW w:w="6596" w:type="dxa"/>
            <w:tcBorders/>
            <w:vAlign w:val="center"/>
          </w:tcPr>
          <w:p>
            <w:pPr>
              <w:pStyle w:val="TableContents"/>
              <w:bidi w:val="0"/>
              <w:spacing w:before="0" w:after="283"/>
              <w:jc w:val="left"/>
              <w:rPr>
                <w:sz w:val="20"/>
              </w:rPr>
            </w:pPr>
            <w:r>
              <w:rPr>
                <w:sz w:val="20"/>
              </w:rPr>
              <w:t>Several Obligations; Benefits of this Agreement</w:t>
            </w:r>
          </w:p>
        </w:tc>
        <w:tc>
          <w:tcPr>
            <w:tcW w:w="605" w:type="dxa"/>
            <w:tcBorders/>
            <w:vAlign w:val="center"/>
          </w:tcPr>
          <w:p>
            <w:pPr>
              <w:pStyle w:val="TableContents"/>
              <w:bidi w:val="0"/>
              <w:spacing w:before="0" w:after="283"/>
              <w:jc w:val="right"/>
              <w:rPr/>
            </w:pPr>
            <w:r>
              <w:rPr>
                <w:strike/>
                <w:color w:val="FF0000"/>
                <w:sz w:val="20"/>
              </w:rPr>
              <w:t>79</w:t>
            </w:r>
            <w:r>
              <w:rPr>
                <w:color w:val="0000FF"/>
                <w:u w:val="single"/>
              </w:rPr>
              <w:t>109</w:t>
            </w:r>
          </w:p>
        </w:tc>
      </w:tr>
      <w:tr>
        <w:trPr/>
        <w:tc>
          <w:tcPr>
            <w:tcW w:w="428" w:type="dxa"/>
            <w:tcBorders/>
            <w:vAlign w:val="center"/>
          </w:tcPr>
          <w:p>
            <w:pPr>
              <w:pStyle w:val="TableContents"/>
              <w:bidi w:val="0"/>
              <w:spacing w:before="0" w:after="283"/>
              <w:jc w:val="left"/>
              <w:rPr>
                <w:sz w:val="20"/>
              </w:rPr>
            </w:pPr>
            <w:r>
              <w:rPr>
                <w:sz w:val="20"/>
              </w:rPr>
              <w:t>9.6</w:t>
            </w:r>
          </w:p>
        </w:tc>
        <w:tc>
          <w:tcPr>
            <w:tcW w:w="6596" w:type="dxa"/>
            <w:tcBorders/>
            <w:vAlign w:val="center"/>
          </w:tcPr>
          <w:p>
            <w:pPr>
              <w:pStyle w:val="TableContents"/>
              <w:bidi w:val="0"/>
              <w:spacing w:before="0" w:after="283"/>
              <w:jc w:val="left"/>
              <w:rPr>
                <w:sz w:val="20"/>
              </w:rPr>
            </w:pPr>
            <w:r>
              <w:rPr>
                <w:sz w:val="20"/>
              </w:rPr>
              <w:t>Expenses; Indemnification</w:t>
            </w:r>
          </w:p>
        </w:tc>
        <w:tc>
          <w:tcPr>
            <w:tcW w:w="605" w:type="dxa"/>
            <w:tcBorders/>
            <w:vAlign w:val="center"/>
          </w:tcPr>
          <w:p>
            <w:pPr>
              <w:pStyle w:val="TableContents"/>
              <w:bidi w:val="0"/>
              <w:spacing w:before="0" w:after="283"/>
              <w:jc w:val="right"/>
              <w:rPr/>
            </w:pPr>
            <w:r>
              <w:rPr>
                <w:strike/>
                <w:color w:val="FF0000"/>
                <w:sz w:val="20"/>
              </w:rPr>
              <w:t>79</w:t>
            </w:r>
            <w:r>
              <w:rPr>
                <w:color w:val="0000FF"/>
                <w:u w:val="single"/>
              </w:rPr>
              <w:t>109</w:t>
            </w:r>
          </w:p>
        </w:tc>
      </w:tr>
      <w:tr>
        <w:trPr/>
        <w:tc>
          <w:tcPr>
            <w:tcW w:w="428" w:type="dxa"/>
            <w:tcBorders/>
            <w:vAlign w:val="center"/>
          </w:tcPr>
          <w:p>
            <w:pPr>
              <w:pStyle w:val="TableContents"/>
              <w:bidi w:val="0"/>
              <w:spacing w:before="0" w:after="283"/>
              <w:jc w:val="left"/>
              <w:rPr>
                <w:sz w:val="20"/>
              </w:rPr>
            </w:pPr>
            <w:r>
              <w:rPr>
                <w:sz w:val="20"/>
              </w:rPr>
              <w:t>9.7</w:t>
            </w:r>
          </w:p>
        </w:tc>
        <w:tc>
          <w:tcPr>
            <w:tcW w:w="6596" w:type="dxa"/>
            <w:tcBorders/>
            <w:vAlign w:val="center"/>
          </w:tcPr>
          <w:p>
            <w:pPr>
              <w:pStyle w:val="TableContents"/>
              <w:bidi w:val="0"/>
              <w:spacing w:before="0" w:after="283"/>
              <w:jc w:val="left"/>
              <w:rPr/>
            </w:pPr>
            <w:r>
              <w:rPr>
                <w:strike/>
                <w:color w:val="FF0000"/>
                <w:sz w:val="20"/>
              </w:rPr>
              <w:t>Numbers of Documents</w:t>
            </w:r>
            <w:r>
              <w:rPr>
                <w:color w:val="0000FF"/>
                <w:u w:val="single"/>
              </w:rPr>
              <w:t>[Reserved]</w:t>
            </w:r>
          </w:p>
        </w:tc>
        <w:tc>
          <w:tcPr>
            <w:tcW w:w="605" w:type="dxa"/>
            <w:tcBorders/>
            <w:vAlign w:val="center"/>
          </w:tcPr>
          <w:p>
            <w:pPr>
              <w:pStyle w:val="TableContents"/>
              <w:bidi w:val="0"/>
              <w:spacing w:before="0" w:after="283"/>
              <w:jc w:val="right"/>
              <w:rPr/>
            </w:pPr>
            <w:r>
              <w:rPr>
                <w:strike/>
                <w:color w:val="FF0000"/>
                <w:sz w:val="20"/>
              </w:rPr>
              <w:t>80</w:t>
            </w:r>
            <w:r>
              <w:rPr>
                <w:color w:val="0000FF"/>
                <w:u w:val="single"/>
              </w:rPr>
              <w:t>110</w:t>
            </w:r>
          </w:p>
        </w:tc>
      </w:tr>
      <w:tr>
        <w:trPr/>
        <w:tc>
          <w:tcPr>
            <w:tcW w:w="428" w:type="dxa"/>
            <w:tcBorders/>
            <w:vAlign w:val="center"/>
          </w:tcPr>
          <w:p>
            <w:pPr>
              <w:pStyle w:val="TableContents"/>
              <w:bidi w:val="0"/>
              <w:spacing w:before="0" w:after="283"/>
              <w:jc w:val="left"/>
              <w:rPr>
                <w:sz w:val="20"/>
              </w:rPr>
            </w:pPr>
            <w:r>
              <w:rPr>
                <w:sz w:val="20"/>
              </w:rPr>
              <w:t>9.8</w:t>
            </w:r>
          </w:p>
        </w:tc>
        <w:tc>
          <w:tcPr>
            <w:tcW w:w="6596"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jc w:val="right"/>
              <w:rPr/>
            </w:pPr>
            <w:r>
              <w:rPr>
                <w:strike/>
                <w:color w:val="FF0000"/>
                <w:sz w:val="20"/>
              </w:rPr>
              <w:t>80</w:t>
            </w:r>
            <w:r>
              <w:rPr>
                <w:color w:val="0000FF"/>
                <w:u w:val="single"/>
              </w:rPr>
              <w:t>110</w:t>
            </w:r>
          </w:p>
        </w:tc>
      </w:tr>
      <w:tr>
        <w:trPr/>
        <w:tc>
          <w:tcPr>
            <w:tcW w:w="428" w:type="dxa"/>
            <w:tcBorders/>
            <w:vAlign w:val="center"/>
          </w:tcPr>
          <w:p>
            <w:pPr>
              <w:pStyle w:val="TableContents"/>
              <w:bidi w:val="0"/>
              <w:spacing w:before="0" w:after="283"/>
              <w:jc w:val="left"/>
              <w:rPr>
                <w:sz w:val="20"/>
              </w:rPr>
            </w:pPr>
            <w:r>
              <w:rPr>
                <w:sz w:val="20"/>
              </w:rPr>
              <w:t>9.9</w:t>
            </w:r>
          </w:p>
        </w:tc>
        <w:tc>
          <w:tcPr>
            <w:tcW w:w="6596" w:type="dxa"/>
            <w:tcBorders/>
            <w:vAlign w:val="center"/>
          </w:tcPr>
          <w:p>
            <w:pPr>
              <w:pStyle w:val="TableContents"/>
              <w:bidi w:val="0"/>
              <w:spacing w:before="0" w:after="283"/>
              <w:jc w:val="left"/>
              <w:rPr>
                <w:sz w:val="20"/>
              </w:rPr>
            </w:pPr>
            <w:r>
              <w:rPr>
                <w:sz w:val="20"/>
              </w:rPr>
              <w:t>Severability of Provisions</w:t>
            </w:r>
          </w:p>
        </w:tc>
        <w:tc>
          <w:tcPr>
            <w:tcW w:w="605" w:type="dxa"/>
            <w:tcBorders/>
            <w:vAlign w:val="center"/>
          </w:tcPr>
          <w:p>
            <w:pPr>
              <w:pStyle w:val="TableContents"/>
              <w:bidi w:val="0"/>
              <w:spacing w:before="0" w:after="283"/>
              <w:jc w:val="right"/>
              <w:rPr/>
            </w:pPr>
            <w:r>
              <w:rPr>
                <w:strike/>
                <w:color w:val="FF0000"/>
                <w:sz w:val="20"/>
              </w:rPr>
              <w:t>80</w:t>
            </w:r>
            <w:r>
              <w:rPr>
                <w:color w:val="0000FF"/>
                <w:u w:val="single"/>
              </w:rPr>
              <w:t>110</w:t>
            </w:r>
          </w:p>
        </w:tc>
      </w:tr>
      <w:tr>
        <w:trPr/>
        <w:tc>
          <w:tcPr>
            <w:tcW w:w="428" w:type="dxa"/>
            <w:tcBorders/>
            <w:vAlign w:val="center"/>
          </w:tcPr>
          <w:p>
            <w:pPr>
              <w:pStyle w:val="TableContents"/>
              <w:bidi w:val="0"/>
              <w:spacing w:before="0" w:after="283"/>
              <w:jc w:val="left"/>
              <w:rPr>
                <w:sz w:val="20"/>
              </w:rPr>
            </w:pPr>
            <w:r>
              <w:rPr>
                <w:sz w:val="20"/>
              </w:rPr>
              <w:t>9.10</w:t>
            </w:r>
          </w:p>
        </w:tc>
        <w:tc>
          <w:tcPr>
            <w:tcW w:w="6596" w:type="dxa"/>
            <w:tcBorders/>
            <w:vAlign w:val="center"/>
          </w:tcPr>
          <w:p>
            <w:pPr>
              <w:pStyle w:val="TableContents"/>
              <w:bidi w:val="0"/>
              <w:spacing w:before="0" w:after="283"/>
              <w:jc w:val="left"/>
              <w:rPr>
                <w:sz w:val="20"/>
              </w:rPr>
            </w:pPr>
            <w:r>
              <w:rPr>
                <w:sz w:val="20"/>
              </w:rPr>
              <w:t>Nonliability of Lenders</w:t>
            </w:r>
          </w:p>
        </w:tc>
        <w:tc>
          <w:tcPr>
            <w:tcW w:w="605" w:type="dxa"/>
            <w:tcBorders/>
            <w:vAlign w:val="center"/>
          </w:tcPr>
          <w:p>
            <w:pPr>
              <w:pStyle w:val="TableContents"/>
              <w:bidi w:val="0"/>
              <w:spacing w:before="0" w:after="283"/>
              <w:jc w:val="right"/>
              <w:rPr/>
            </w:pPr>
            <w:r>
              <w:rPr>
                <w:strike/>
                <w:color w:val="FF0000"/>
                <w:sz w:val="20"/>
              </w:rPr>
              <w:t>80</w:t>
            </w:r>
            <w:r>
              <w:rPr>
                <w:color w:val="0000FF"/>
                <w:u w:val="single"/>
              </w:rPr>
              <w:t>110</w:t>
            </w:r>
          </w:p>
        </w:tc>
      </w:tr>
      <w:tr>
        <w:trPr/>
        <w:tc>
          <w:tcPr>
            <w:tcW w:w="428" w:type="dxa"/>
            <w:tcBorders/>
            <w:vAlign w:val="center"/>
          </w:tcPr>
          <w:p>
            <w:pPr>
              <w:pStyle w:val="TableContents"/>
              <w:bidi w:val="0"/>
              <w:spacing w:before="0" w:after="283"/>
              <w:jc w:val="left"/>
              <w:rPr>
                <w:sz w:val="20"/>
              </w:rPr>
            </w:pPr>
            <w:r>
              <w:rPr>
                <w:sz w:val="20"/>
              </w:rPr>
              <w:t>9.11</w:t>
            </w:r>
          </w:p>
        </w:tc>
        <w:tc>
          <w:tcPr>
            <w:tcW w:w="6596" w:type="dxa"/>
            <w:tcBorders/>
            <w:vAlign w:val="center"/>
          </w:tcPr>
          <w:p>
            <w:pPr>
              <w:pStyle w:val="TableContents"/>
              <w:bidi w:val="0"/>
              <w:spacing w:before="0" w:after="283"/>
              <w:jc w:val="left"/>
              <w:rPr>
                <w:sz w:val="20"/>
              </w:rPr>
            </w:pPr>
            <w:r>
              <w:rPr>
                <w:sz w:val="20"/>
              </w:rPr>
              <w:t>Confidentiality</w:t>
            </w:r>
          </w:p>
        </w:tc>
        <w:tc>
          <w:tcPr>
            <w:tcW w:w="605" w:type="dxa"/>
            <w:tcBorders/>
            <w:vAlign w:val="center"/>
          </w:tcPr>
          <w:p>
            <w:pPr>
              <w:pStyle w:val="TableContents"/>
              <w:bidi w:val="0"/>
              <w:spacing w:before="0" w:after="283"/>
              <w:jc w:val="right"/>
              <w:rPr/>
            </w:pPr>
            <w:r>
              <w:rPr>
                <w:strike/>
                <w:color w:val="FF0000"/>
                <w:sz w:val="20"/>
              </w:rPr>
              <w:t>80</w:t>
            </w:r>
            <w:r>
              <w:rPr>
                <w:color w:val="0000FF"/>
                <w:u w:val="single"/>
              </w:rPr>
              <w:t>111</w:t>
            </w:r>
          </w:p>
        </w:tc>
      </w:tr>
      <w:tr>
        <w:trPr/>
        <w:tc>
          <w:tcPr>
            <w:tcW w:w="428" w:type="dxa"/>
            <w:tcBorders/>
            <w:vAlign w:val="center"/>
          </w:tcPr>
          <w:p>
            <w:pPr>
              <w:pStyle w:val="TableContents"/>
              <w:bidi w:val="0"/>
              <w:spacing w:before="0" w:after="283"/>
              <w:jc w:val="left"/>
              <w:rPr>
                <w:sz w:val="20"/>
              </w:rPr>
            </w:pPr>
            <w:r>
              <w:rPr>
                <w:sz w:val="20"/>
              </w:rPr>
              <w:t>9.12</w:t>
            </w:r>
          </w:p>
        </w:tc>
        <w:tc>
          <w:tcPr>
            <w:tcW w:w="6596" w:type="dxa"/>
            <w:tcBorders/>
            <w:vAlign w:val="center"/>
          </w:tcPr>
          <w:p>
            <w:pPr>
              <w:pStyle w:val="TableContents"/>
              <w:bidi w:val="0"/>
              <w:spacing w:before="0" w:after="283"/>
              <w:jc w:val="left"/>
              <w:rPr>
                <w:sz w:val="20"/>
              </w:rPr>
            </w:pPr>
            <w:r>
              <w:rPr>
                <w:sz w:val="20"/>
              </w:rPr>
              <w:t>Nonreliance</w:t>
            </w:r>
          </w:p>
        </w:tc>
        <w:tc>
          <w:tcPr>
            <w:tcW w:w="605" w:type="dxa"/>
            <w:tcBorders/>
            <w:vAlign w:val="center"/>
          </w:tcPr>
          <w:p>
            <w:pPr>
              <w:pStyle w:val="TableContents"/>
              <w:bidi w:val="0"/>
              <w:spacing w:before="0" w:after="283"/>
              <w:jc w:val="right"/>
              <w:rPr/>
            </w:pPr>
            <w:r>
              <w:rPr>
                <w:strike/>
                <w:color w:val="FF0000"/>
                <w:sz w:val="20"/>
              </w:rPr>
              <w:t>81</w:t>
            </w:r>
            <w:r>
              <w:rPr>
                <w:color w:val="0000FF"/>
                <w:u w:val="single"/>
              </w:rPr>
              <w:t>112</w:t>
            </w:r>
          </w:p>
        </w:tc>
      </w:tr>
      <w:tr>
        <w:trPr/>
        <w:tc>
          <w:tcPr>
            <w:tcW w:w="428" w:type="dxa"/>
            <w:tcBorders/>
            <w:vAlign w:val="center"/>
          </w:tcPr>
          <w:p>
            <w:pPr>
              <w:pStyle w:val="TableContents"/>
              <w:bidi w:val="0"/>
              <w:spacing w:before="0" w:after="283"/>
              <w:jc w:val="left"/>
              <w:rPr>
                <w:sz w:val="20"/>
              </w:rPr>
            </w:pPr>
            <w:r>
              <w:rPr>
                <w:sz w:val="20"/>
              </w:rPr>
              <w:t>9.13</w:t>
            </w:r>
          </w:p>
        </w:tc>
        <w:tc>
          <w:tcPr>
            <w:tcW w:w="6596" w:type="dxa"/>
            <w:tcBorders/>
            <w:vAlign w:val="center"/>
          </w:tcPr>
          <w:p>
            <w:pPr>
              <w:pStyle w:val="TableContents"/>
              <w:bidi w:val="0"/>
              <w:spacing w:before="0" w:after="283"/>
              <w:jc w:val="left"/>
              <w:rPr>
                <w:sz w:val="20"/>
              </w:rPr>
            </w:pPr>
            <w:r>
              <w:rPr>
                <w:sz w:val="20"/>
              </w:rPr>
              <w:t>Acknowledgment and Consent to Bail-In of Affected Financial Institutions</w:t>
            </w:r>
          </w:p>
        </w:tc>
        <w:tc>
          <w:tcPr>
            <w:tcW w:w="605" w:type="dxa"/>
            <w:tcBorders/>
            <w:vAlign w:val="center"/>
          </w:tcPr>
          <w:p>
            <w:pPr>
              <w:pStyle w:val="TableContents"/>
              <w:bidi w:val="0"/>
              <w:spacing w:before="0" w:after="283"/>
              <w:jc w:val="right"/>
              <w:rPr/>
            </w:pPr>
            <w:r>
              <w:rPr>
                <w:strike/>
                <w:color w:val="FF0000"/>
                <w:sz w:val="20"/>
              </w:rPr>
              <w:t>81</w:t>
            </w:r>
            <w:r>
              <w:rPr>
                <w:color w:val="0000FF"/>
                <w:u w:val="single"/>
              </w:rPr>
              <w:t>112</w:t>
            </w:r>
          </w:p>
        </w:tc>
      </w:tr>
      <w:tr>
        <w:trPr/>
        <w:tc>
          <w:tcPr>
            <w:tcW w:w="428" w:type="dxa"/>
            <w:tcBorders/>
            <w:vAlign w:val="center"/>
          </w:tcPr>
          <w:p>
            <w:pPr>
              <w:pStyle w:val="TableContents"/>
              <w:bidi w:val="0"/>
              <w:spacing w:before="0" w:after="283"/>
              <w:jc w:val="left"/>
              <w:rPr>
                <w:sz w:val="20"/>
              </w:rPr>
            </w:pPr>
            <w:r>
              <w:rPr>
                <w:sz w:val="20"/>
              </w:rPr>
              <w:t>9.14</w:t>
            </w:r>
          </w:p>
        </w:tc>
        <w:tc>
          <w:tcPr>
            <w:tcW w:w="6596" w:type="dxa"/>
            <w:tcBorders/>
            <w:vAlign w:val="center"/>
          </w:tcPr>
          <w:p>
            <w:pPr>
              <w:pStyle w:val="TableContents"/>
              <w:bidi w:val="0"/>
              <w:spacing w:before="0" w:after="283"/>
              <w:jc w:val="left"/>
              <w:rPr>
                <w:sz w:val="20"/>
              </w:rPr>
            </w:pPr>
            <w:r>
              <w:rPr>
                <w:sz w:val="20"/>
              </w:rPr>
              <w:t>Amendment and Restatement</w:t>
            </w:r>
          </w:p>
        </w:tc>
        <w:tc>
          <w:tcPr>
            <w:tcW w:w="605" w:type="dxa"/>
            <w:tcBorders/>
            <w:vAlign w:val="center"/>
          </w:tcPr>
          <w:p>
            <w:pPr>
              <w:pStyle w:val="TableContents"/>
              <w:bidi w:val="0"/>
              <w:spacing w:before="0" w:after="283"/>
              <w:jc w:val="right"/>
              <w:rPr/>
            </w:pPr>
            <w:r>
              <w:rPr>
                <w:strike/>
                <w:color w:val="FF0000"/>
                <w:sz w:val="20"/>
              </w:rPr>
              <w:t>81</w:t>
            </w:r>
            <w:r>
              <w:rPr>
                <w:color w:val="0000FF"/>
                <w:u w:val="single"/>
              </w:rPr>
              <w:t>112</w:t>
            </w:r>
          </w:p>
        </w:tc>
      </w:tr>
      <w:tr>
        <w:trPr/>
        <w:tc>
          <w:tcPr>
            <w:tcW w:w="428" w:type="dxa"/>
            <w:tcBorders/>
            <w:vAlign w:val="center"/>
          </w:tcPr>
          <w:p>
            <w:pPr>
              <w:pStyle w:val="TableContents"/>
              <w:bidi w:val="0"/>
              <w:spacing w:before="0" w:after="283"/>
              <w:jc w:val="left"/>
              <w:rPr>
                <w:sz w:val="20"/>
              </w:rPr>
            </w:pPr>
            <w:r>
              <w:rPr>
                <w:sz w:val="20"/>
              </w:rPr>
              <w:t>9.15</w:t>
            </w:r>
          </w:p>
        </w:tc>
        <w:tc>
          <w:tcPr>
            <w:tcW w:w="6596" w:type="dxa"/>
            <w:tcBorders/>
            <w:vAlign w:val="center"/>
          </w:tcPr>
          <w:p>
            <w:pPr>
              <w:pStyle w:val="TableContents"/>
              <w:bidi w:val="0"/>
              <w:spacing w:before="0" w:after="283"/>
              <w:jc w:val="left"/>
              <w:rPr>
                <w:sz w:val="20"/>
              </w:rPr>
            </w:pPr>
            <w:r>
              <w:rPr>
                <w:sz w:val="20"/>
              </w:rPr>
              <w:t>Acknowledgement Regarding any Supported QFCs</w:t>
            </w:r>
          </w:p>
        </w:tc>
        <w:tc>
          <w:tcPr>
            <w:tcW w:w="605" w:type="dxa"/>
            <w:tcBorders/>
            <w:vAlign w:val="center"/>
          </w:tcPr>
          <w:p>
            <w:pPr>
              <w:pStyle w:val="TableContents"/>
              <w:bidi w:val="0"/>
              <w:spacing w:before="0" w:after="283"/>
              <w:jc w:val="right"/>
              <w:rPr/>
            </w:pPr>
            <w:r>
              <w:rPr>
                <w:strike/>
                <w:color w:val="FF0000"/>
                <w:sz w:val="20"/>
              </w:rPr>
              <w:t>82</w:t>
            </w:r>
            <w:r>
              <w:rPr>
                <w:color w:val="0000FF"/>
                <w:u w:val="single"/>
              </w:rPr>
              <w:t>112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1"/>
        <w:gridCol w:w="8918"/>
        <w:gridCol w:w="606"/>
      </w:tblGrid>
      <w:tr>
        <w:trPr/>
        <w:tc>
          <w:tcPr>
            <w:tcW w:w="681" w:type="dxa"/>
            <w:tcBorders/>
            <w:vAlign w:val="center"/>
          </w:tcPr>
          <w:p>
            <w:pPr>
              <w:pStyle w:val="TableContents"/>
              <w:bidi w:val="0"/>
              <w:spacing w:before="0" w:after="283"/>
              <w:jc w:val="left"/>
              <w:rPr>
                <w:color w:val="0000FF"/>
                <w:u w:val="single"/>
              </w:rPr>
            </w:pPr>
            <w:r>
              <w:rPr>
                <w:color w:val="0000FF"/>
                <w:u w:val="single"/>
              </w:rPr>
              <w:t>9.15</w:t>
            </w:r>
          </w:p>
        </w:tc>
        <w:tc>
          <w:tcPr>
            <w:tcW w:w="8918" w:type="dxa"/>
            <w:tcBorders/>
            <w:vAlign w:val="center"/>
          </w:tcPr>
          <w:p>
            <w:pPr>
              <w:pStyle w:val="TableContents"/>
              <w:bidi w:val="0"/>
              <w:spacing w:before="0" w:after="283"/>
              <w:jc w:val="left"/>
              <w:rPr>
                <w:color w:val="0000FF"/>
                <w:u w:val="single"/>
              </w:rPr>
            </w:pPr>
            <w:r>
              <w:rPr>
                <w:color w:val="0000FF"/>
                <w:u w:val="single"/>
              </w:rPr>
              <w:t>Borrower Representative</w:t>
            </w:r>
          </w:p>
        </w:tc>
        <w:tc>
          <w:tcPr>
            <w:tcW w:w="606" w:type="dxa"/>
            <w:tcBorders/>
            <w:vAlign w:val="center"/>
          </w:tcPr>
          <w:p>
            <w:pPr>
              <w:pStyle w:val="TableContents"/>
              <w:bidi w:val="0"/>
              <w:spacing w:before="0" w:after="283"/>
              <w:jc w:val="right"/>
              <w:rPr>
                <w:color w:val="0000FF"/>
                <w:u w:val="single"/>
              </w:rPr>
            </w:pPr>
            <w:r>
              <w:rPr>
                <w:color w:val="0000FF"/>
                <w:u w:val="single"/>
              </w:rPr>
              <w:t>113</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 THE AGENT</w:t>
            </w:r>
          </w:p>
        </w:tc>
        <w:tc>
          <w:tcPr>
            <w:tcW w:w="606" w:type="dxa"/>
            <w:tcBorders/>
            <w:vAlign w:val="center"/>
          </w:tcPr>
          <w:p>
            <w:pPr>
              <w:pStyle w:val="TableContents"/>
              <w:bidi w:val="0"/>
              <w:spacing w:before="0" w:after="283"/>
              <w:jc w:val="right"/>
              <w:rPr/>
            </w:pPr>
            <w:r>
              <w:rPr>
                <w:b/>
                <w:caps/>
                <w:strike/>
                <w:color w:val="FF0000"/>
                <w:sz w:val="20"/>
              </w:rPr>
              <w:t>83</w:t>
            </w:r>
            <w:r>
              <w:rPr>
                <w:b/>
                <w:color w:val="0000FF"/>
                <w:u w:val="single"/>
              </w:rPr>
              <w:t>113</w:t>
            </w:r>
          </w:p>
        </w:tc>
      </w:tr>
      <w:tr>
        <w:trPr/>
        <w:tc>
          <w:tcPr>
            <w:tcW w:w="681" w:type="dxa"/>
            <w:tcBorders/>
            <w:vAlign w:val="center"/>
          </w:tcPr>
          <w:p>
            <w:pPr>
              <w:pStyle w:val="TableContents"/>
              <w:bidi w:val="0"/>
              <w:spacing w:before="0" w:after="283"/>
              <w:jc w:val="left"/>
              <w:rPr>
                <w:sz w:val="20"/>
              </w:rPr>
            </w:pPr>
            <w:r>
              <w:rPr>
                <w:sz w:val="20"/>
              </w:rPr>
              <w:t>10.1</w:t>
            </w:r>
          </w:p>
        </w:tc>
        <w:tc>
          <w:tcPr>
            <w:tcW w:w="8918" w:type="dxa"/>
            <w:tcBorders/>
            <w:vAlign w:val="center"/>
          </w:tcPr>
          <w:p>
            <w:pPr>
              <w:pStyle w:val="TableContents"/>
              <w:bidi w:val="0"/>
              <w:spacing w:before="0" w:after="283"/>
              <w:jc w:val="left"/>
              <w:rPr>
                <w:sz w:val="20"/>
              </w:rPr>
            </w:pPr>
            <w:r>
              <w:rPr>
                <w:sz w:val="20"/>
              </w:rPr>
              <w:t>Appointment and Authority</w:t>
            </w:r>
          </w:p>
        </w:tc>
        <w:tc>
          <w:tcPr>
            <w:tcW w:w="606" w:type="dxa"/>
            <w:tcBorders/>
            <w:vAlign w:val="center"/>
          </w:tcPr>
          <w:p>
            <w:pPr>
              <w:pStyle w:val="TableContents"/>
              <w:bidi w:val="0"/>
              <w:spacing w:before="0" w:after="283"/>
              <w:jc w:val="right"/>
              <w:rPr/>
            </w:pPr>
            <w:r>
              <w:rPr>
                <w:strike/>
                <w:color w:val="FF0000"/>
                <w:sz w:val="20"/>
              </w:rPr>
              <w:t>83</w:t>
            </w:r>
            <w:r>
              <w:rPr>
                <w:color w:val="0000FF"/>
                <w:u w:val="single"/>
              </w:rPr>
              <w:t>113</w:t>
            </w:r>
          </w:p>
        </w:tc>
      </w:tr>
      <w:tr>
        <w:trPr/>
        <w:tc>
          <w:tcPr>
            <w:tcW w:w="681" w:type="dxa"/>
            <w:tcBorders/>
            <w:vAlign w:val="center"/>
          </w:tcPr>
          <w:p>
            <w:pPr>
              <w:pStyle w:val="TableContents"/>
              <w:bidi w:val="0"/>
              <w:spacing w:before="0" w:after="283"/>
              <w:jc w:val="left"/>
              <w:rPr>
                <w:sz w:val="20"/>
              </w:rPr>
            </w:pPr>
            <w:r>
              <w:rPr>
                <w:sz w:val="20"/>
              </w:rPr>
              <w:t>10.2</w:t>
            </w:r>
          </w:p>
        </w:tc>
        <w:tc>
          <w:tcPr>
            <w:tcW w:w="8918" w:type="dxa"/>
            <w:tcBorders/>
            <w:vAlign w:val="center"/>
          </w:tcPr>
          <w:p>
            <w:pPr>
              <w:pStyle w:val="TableContents"/>
              <w:bidi w:val="0"/>
              <w:spacing w:before="0" w:after="283"/>
              <w:jc w:val="left"/>
              <w:rPr>
                <w:sz w:val="20"/>
              </w:rPr>
            </w:pPr>
            <w:r>
              <w:rPr>
                <w:sz w:val="20"/>
              </w:rPr>
              <w:t>Nature of Duties</w:t>
            </w:r>
          </w:p>
        </w:tc>
        <w:tc>
          <w:tcPr>
            <w:tcW w:w="606" w:type="dxa"/>
            <w:tcBorders/>
            <w:vAlign w:val="center"/>
          </w:tcPr>
          <w:p>
            <w:pPr>
              <w:pStyle w:val="TableContents"/>
              <w:bidi w:val="0"/>
              <w:spacing w:before="0" w:after="283"/>
              <w:jc w:val="right"/>
              <w:rPr/>
            </w:pPr>
            <w:r>
              <w:rPr>
                <w:strike/>
                <w:color w:val="FF0000"/>
                <w:sz w:val="20"/>
              </w:rPr>
              <w:t>83</w:t>
            </w:r>
            <w:r>
              <w:rPr>
                <w:color w:val="0000FF"/>
                <w:u w:val="single"/>
              </w:rPr>
              <w:t>114</w:t>
            </w:r>
          </w:p>
        </w:tc>
      </w:tr>
      <w:tr>
        <w:trPr/>
        <w:tc>
          <w:tcPr>
            <w:tcW w:w="681" w:type="dxa"/>
            <w:tcBorders/>
            <w:vAlign w:val="center"/>
          </w:tcPr>
          <w:p>
            <w:pPr>
              <w:pStyle w:val="TableContents"/>
              <w:bidi w:val="0"/>
              <w:spacing w:before="0" w:after="283"/>
              <w:jc w:val="left"/>
              <w:rPr>
                <w:sz w:val="20"/>
              </w:rPr>
            </w:pPr>
            <w:r>
              <w:rPr>
                <w:sz w:val="20"/>
              </w:rPr>
              <w:t>10.3</w:t>
            </w:r>
          </w:p>
        </w:tc>
        <w:tc>
          <w:tcPr>
            <w:tcW w:w="8918" w:type="dxa"/>
            <w:tcBorders/>
            <w:vAlign w:val="center"/>
          </w:tcPr>
          <w:p>
            <w:pPr>
              <w:pStyle w:val="TableContents"/>
              <w:bidi w:val="0"/>
              <w:spacing w:before="0" w:after="283"/>
              <w:jc w:val="left"/>
              <w:rPr>
                <w:sz w:val="20"/>
              </w:rPr>
            </w:pPr>
            <w:r>
              <w:rPr>
                <w:sz w:val="20"/>
              </w:rPr>
              <w:t>Exculpatory Provisions</w:t>
            </w:r>
          </w:p>
        </w:tc>
        <w:tc>
          <w:tcPr>
            <w:tcW w:w="606" w:type="dxa"/>
            <w:tcBorders/>
            <w:vAlign w:val="center"/>
          </w:tcPr>
          <w:p>
            <w:pPr>
              <w:pStyle w:val="TableContents"/>
              <w:bidi w:val="0"/>
              <w:spacing w:before="0" w:after="283"/>
              <w:jc w:val="right"/>
              <w:rPr/>
            </w:pPr>
            <w:r>
              <w:rPr>
                <w:strike/>
                <w:color w:val="FF0000"/>
                <w:sz w:val="20"/>
              </w:rPr>
              <w:t>83</w:t>
            </w:r>
            <w:r>
              <w:rPr>
                <w:color w:val="0000FF"/>
                <w:u w:val="single"/>
              </w:rPr>
              <w:t>114</w:t>
            </w:r>
          </w:p>
        </w:tc>
      </w:tr>
      <w:tr>
        <w:trPr/>
        <w:tc>
          <w:tcPr>
            <w:tcW w:w="681" w:type="dxa"/>
            <w:tcBorders/>
            <w:vAlign w:val="center"/>
          </w:tcPr>
          <w:p>
            <w:pPr>
              <w:pStyle w:val="TableContents"/>
              <w:bidi w:val="0"/>
              <w:spacing w:before="0" w:after="283"/>
              <w:jc w:val="left"/>
              <w:rPr>
                <w:sz w:val="20"/>
              </w:rPr>
            </w:pPr>
            <w:r>
              <w:rPr>
                <w:sz w:val="20"/>
              </w:rPr>
              <w:t>10.4</w:t>
            </w:r>
          </w:p>
        </w:tc>
        <w:tc>
          <w:tcPr>
            <w:tcW w:w="8918" w:type="dxa"/>
            <w:tcBorders/>
            <w:vAlign w:val="center"/>
          </w:tcPr>
          <w:p>
            <w:pPr>
              <w:pStyle w:val="TableContents"/>
              <w:bidi w:val="0"/>
              <w:spacing w:before="0" w:after="283"/>
              <w:jc w:val="left"/>
              <w:rPr>
                <w:sz w:val="20"/>
              </w:rPr>
            </w:pPr>
            <w:r>
              <w:rPr>
                <w:sz w:val="20"/>
              </w:rPr>
              <w:t>Reliance by Agent</w:t>
            </w:r>
          </w:p>
        </w:tc>
        <w:tc>
          <w:tcPr>
            <w:tcW w:w="606" w:type="dxa"/>
            <w:tcBorders/>
            <w:vAlign w:val="center"/>
          </w:tcPr>
          <w:p>
            <w:pPr>
              <w:pStyle w:val="TableContents"/>
              <w:bidi w:val="0"/>
              <w:spacing w:before="0" w:after="283"/>
              <w:jc w:val="right"/>
              <w:rPr/>
            </w:pPr>
            <w:r>
              <w:rPr>
                <w:strike/>
                <w:color w:val="FF0000"/>
                <w:sz w:val="20"/>
              </w:rPr>
              <w:t>84</w:t>
            </w:r>
            <w:r>
              <w:rPr>
                <w:color w:val="0000FF"/>
                <w:u w:val="single"/>
              </w:rPr>
              <w:t>115</w:t>
            </w:r>
          </w:p>
        </w:tc>
      </w:tr>
      <w:tr>
        <w:trPr/>
        <w:tc>
          <w:tcPr>
            <w:tcW w:w="681" w:type="dxa"/>
            <w:tcBorders/>
            <w:vAlign w:val="center"/>
          </w:tcPr>
          <w:p>
            <w:pPr>
              <w:pStyle w:val="TableContents"/>
              <w:bidi w:val="0"/>
              <w:spacing w:before="0" w:after="283"/>
              <w:jc w:val="left"/>
              <w:rPr>
                <w:sz w:val="20"/>
              </w:rPr>
            </w:pPr>
            <w:r>
              <w:rPr>
                <w:sz w:val="20"/>
              </w:rPr>
              <w:t>10.5</w:t>
            </w:r>
          </w:p>
        </w:tc>
        <w:tc>
          <w:tcPr>
            <w:tcW w:w="8918" w:type="dxa"/>
            <w:tcBorders/>
            <w:vAlign w:val="center"/>
          </w:tcPr>
          <w:p>
            <w:pPr>
              <w:pStyle w:val="TableContents"/>
              <w:bidi w:val="0"/>
              <w:spacing w:before="0" w:after="283"/>
              <w:jc w:val="left"/>
              <w:rPr>
                <w:sz w:val="20"/>
              </w:rPr>
            </w:pPr>
            <w:r>
              <w:rPr>
                <w:sz w:val="20"/>
              </w:rPr>
              <w:t>Notice of Default</w:t>
            </w:r>
          </w:p>
        </w:tc>
        <w:tc>
          <w:tcPr>
            <w:tcW w:w="606" w:type="dxa"/>
            <w:tcBorders/>
            <w:vAlign w:val="center"/>
          </w:tcPr>
          <w:p>
            <w:pPr>
              <w:pStyle w:val="TableContents"/>
              <w:bidi w:val="0"/>
              <w:spacing w:before="0" w:after="283"/>
              <w:jc w:val="right"/>
              <w:rPr/>
            </w:pPr>
            <w:r>
              <w:rPr>
                <w:strike/>
                <w:color w:val="FF0000"/>
                <w:sz w:val="20"/>
              </w:rPr>
              <w:t>84</w:t>
            </w:r>
            <w:r>
              <w:rPr>
                <w:color w:val="0000FF"/>
                <w:u w:val="single"/>
              </w:rPr>
              <w:t>115</w:t>
            </w:r>
          </w:p>
        </w:tc>
      </w:tr>
      <w:tr>
        <w:trPr/>
        <w:tc>
          <w:tcPr>
            <w:tcW w:w="681" w:type="dxa"/>
            <w:tcBorders/>
            <w:vAlign w:val="center"/>
          </w:tcPr>
          <w:p>
            <w:pPr>
              <w:pStyle w:val="TableContents"/>
              <w:bidi w:val="0"/>
              <w:spacing w:before="0" w:after="283"/>
              <w:jc w:val="left"/>
              <w:rPr>
                <w:sz w:val="20"/>
              </w:rPr>
            </w:pPr>
            <w:r>
              <w:rPr>
                <w:sz w:val="20"/>
              </w:rPr>
              <w:t>10.6</w:t>
            </w:r>
          </w:p>
        </w:tc>
        <w:tc>
          <w:tcPr>
            <w:tcW w:w="8918" w:type="dxa"/>
            <w:tcBorders/>
            <w:vAlign w:val="center"/>
          </w:tcPr>
          <w:p>
            <w:pPr>
              <w:pStyle w:val="TableContents"/>
              <w:bidi w:val="0"/>
              <w:spacing w:before="0" w:after="283"/>
              <w:jc w:val="left"/>
              <w:rPr>
                <w:sz w:val="20"/>
              </w:rPr>
            </w:pPr>
            <w:r>
              <w:rPr>
                <w:sz w:val="20"/>
              </w:rPr>
              <w:t>Non-Reliance on Agent and Other Lenders</w:t>
            </w:r>
          </w:p>
        </w:tc>
        <w:tc>
          <w:tcPr>
            <w:tcW w:w="606" w:type="dxa"/>
            <w:tcBorders/>
            <w:vAlign w:val="center"/>
          </w:tcPr>
          <w:p>
            <w:pPr>
              <w:pStyle w:val="TableContents"/>
              <w:bidi w:val="0"/>
              <w:spacing w:before="0" w:after="283"/>
              <w:jc w:val="right"/>
              <w:rPr/>
            </w:pPr>
            <w:r>
              <w:rPr>
                <w:strike/>
                <w:color w:val="FF0000"/>
                <w:sz w:val="20"/>
              </w:rPr>
              <w:t>85</w:t>
            </w:r>
            <w:r>
              <w:rPr>
                <w:color w:val="0000FF"/>
                <w:u w:val="single"/>
              </w:rPr>
              <w:t>116</w:t>
            </w:r>
          </w:p>
        </w:tc>
      </w:tr>
      <w:tr>
        <w:trPr/>
        <w:tc>
          <w:tcPr>
            <w:tcW w:w="681" w:type="dxa"/>
            <w:tcBorders/>
            <w:vAlign w:val="center"/>
          </w:tcPr>
          <w:p>
            <w:pPr>
              <w:pStyle w:val="TableContents"/>
              <w:bidi w:val="0"/>
              <w:spacing w:before="0" w:after="283"/>
              <w:jc w:val="left"/>
              <w:rPr>
                <w:sz w:val="20"/>
              </w:rPr>
            </w:pPr>
            <w:r>
              <w:rPr>
                <w:sz w:val="20"/>
              </w:rPr>
              <w:t>10.7</w:t>
            </w:r>
          </w:p>
        </w:tc>
        <w:tc>
          <w:tcPr>
            <w:tcW w:w="8918" w:type="dxa"/>
            <w:tcBorders/>
            <w:vAlign w:val="center"/>
          </w:tcPr>
          <w:p>
            <w:pPr>
              <w:pStyle w:val="TableContents"/>
              <w:bidi w:val="0"/>
              <w:spacing w:before="0" w:after="283"/>
              <w:jc w:val="left"/>
              <w:rPr>
                <w:sz w:val="20"/>
              </w:rPr>
            </w:pPr>
            <w:r>
              <w:rPr>
                <w:sz w:val="20"/>
              </w:rPr>
              <w:t>Indemnification</w:t>
            </w:r>
          </w:p>
        </w:tc>
        <w:tc>
          <w:tcPr>
            <w:tcW w:w="606" w:type="dxa"/>
            <w:tcBorders/>
            <w:vAlign w:val="center"/>
          </w:tcPr>
          <w:p>
            <w:pPr>
              <w:pStyle w:val="TableContents"/>
              <w:bidi w:val="0"/>
              <w:spacing w:before="0" w:after="283"/>
              <w:jc w:val="right"/>
              <w:rPr/>
            </w:pPr>
            <w:r>
              <w:rPr>
                <w:strike/>
                <w:color w:val="FF0000"/>
                <w:sz w:val="20"/>
              </w:rPr>
              <w:t>85</w:t>
            </w:r>
            <w:r>
              <w:rPr>
                <w:color w:val="0000FF"/>
                <w:u w:val="single"/>
              </w:rPr>
              <w:t>116</w:t>
            </w:r>
          </w:p>
        </w:tc>
      </w:tr>
      <w:tr>
        <w:trPr/>
        <w:tc>
          <w:tcPr>
            <w:tcW w:w="681" w:type="dxa"/>
            <w:tcBorders/>
            <w:vAlign w:val="center"/>
          </w:tcPr>
          <w:p>
            <w:pPr>
              <w:pStyle w:val="TableContents"/>
              <w:bidi w:val="0"/>
              <w:spacing w:before="0" w:after="283"/>
              <w:jc w:val="left"/>
              <w:rPr>
                <w:sz w:val="20"/>
              </w:rPr>
            </w:pPr>
            <w:r>
              <w:rPr>
                <w:sz w:val="20"/>
              </w:rPr>
              <w:t>10.8</w:t>
            </w:r>
          </w:p>
        </w:tc>
        <w:tc>
          <w:tcPr>
            <w:tcW w:w="8918" w:type="dxa"/>
            <w:tcBorders/>
            <w:vAlign w:val="center"/>
          </w:tcPr>
          <w:p>
            <w:pPr>
              <w:pStyle w:val="TableContents"/>
              <w:bidi w:val="0"/>
              <w:spacing w:before="0" w:after="283"/>
              <w:jc w:val="left"/>
              <w:rPr>
                <w:sz w:val="20"/>
              </w:rPr>
            </w:pPr>
            <w:r>
              <w:rPr>
                <w:sz w:val="20"/>
              </w:rPr>
              <w:t>Agent in Its Individual Capacity</w:t>
            </w:r>
          </w:p>
        </w:tc>
        <w:tc>
          <w:tcPr>
            <w:tcW w:w="606" w:type="dxa"/>
            <w:tcBorders/>
            <w:vAlign w:val="center"/>
          </w:tcPr>
          <w:p>
            <w:pPr>
              <w:pStyle w:val="TableContents"/>
              <w:bidi w:val="0"/>
              <w:spacing w:before="0" w:after="283"/>
              <w:jc w:val="right"/>
              <w:rPr/>
            </w:pPr>
            <w:r>
              <w:rPr>
                <w:strike/>
                <w:color w:val="FF0000"/>
                <w:sz w:val="20"/>
              </w:rPr>
              <w:t>85</w:t>
            </w:r>
            <w:r>
              <w:rPr>
                <w:color w:val="0000FF"/>
                <w:u w:val="single"/>
              </w:rPr>
              <w:t>116</w:t>
            </w:r>
          </w:p>
        </w:tc>
      </w:tr>
      <w:tr>
        <w:trPr/>
        <w:tc>
          <w:tcPr>
            <w:tcW w:w="681" w:type="dxa"/>
            <w:tcBorders/>
            <w:vAlign w:val="center"/>
          </w:tcPr>
          <w:p>
            <w:pPr>
              <w:pStyle w:val="TableContents"/>
              <w:bidi w:val="0"/>
              <w:spacing w:before="0" w:after="283"/>
              <w:jc w:val="left"/>
              <w:rPr>
                <w:sz w:val="20"/>
              </w:rPr>
            </w:pPr>
            <w:r>
              <w:rPr>
                <w:sz w:val="20"/>
              </w:rPr>
              <w:t>10.9</w:t>
            </w:r>
          </w:p>
        </w:tc>
        <w:tc>
          <w:tcPr>
            <w:tcW w:w="8918" w:type="dxa"/>
            <w:tcBorders/>
            <w:vAlign w:val="center"/>
          </w:tcPr>
          <w:p>
            <w:pPr>
              <w:pStyle w:val="TableContents"/>
              <w:bidi w:val="0"/>
              <w:spacing w:before="0" w:after="283"/>
              <w:jc w:val="left"/>
              <w:rPr>
                <w:sz w:val="20"/>
              </w:rPr>
            </w:pPr>
            <w:r>
              <w:rPr>
                <w:sz w:val="20"/>
              </w:rPr>
              <w:t>Resignation of Agent</w:t>
            </w:r>
          </w:p>
        </w:tc>
        <w:tc>
          <w:tcPr>
            <w:tcW w:w="606" w:type="dxa"/>
            <w:tcBorders/>
            <w:vAlign w:val="center"/>
          </w:tcPr>
          <w:p>
            <w:pPr>
              <w:pStyle w:val="TableContents"/>
              <w:bidi w:val="0"/>
              <w:spacing w:before="0" w:after="283"/>
              <w:jc w:val="right"/>
              <w:rPr/>
            </w:pPr>
            <w:r>
              <w:rPr>
                <w:strike/>
                <w:color w:val="FF0000"/>
                <w:sz w:val="20"/>
              </w:rPr>
              <w:t>86</w:t>
            </w:r>
            <w:r>
              <w:rPr>
                <w:color w:val="0000FF"/>
                <w:u w:val="single"/>
              </w:rPr>
              <w:t>116</w:t>
            </w:r>
          </w:p>
        </w:tc>
      </w:tr>
      <w:tr>
        <w:trPr/>
        <w:tc>
          <w:tcPr>
            <w:tcW w:w="681" w:type="dxa"/>
            <w:tcBorders/>
            <w:vAlign w:val="center"/>
          </w:tcPr>
          <w:p>
            <w:pPr>
              <w:pStyle w:val="TableContents"/>
              <w:bidi w:val="0"/>
              <w:spacing w:before="0" w:after="283"/>
              <w:jc w:val="left"/>
              <w:rPr>
                <w:sz w:val="20"/>
              </w:rPr>
            </w:pPr>
            <w:r>
              <w:rPr>
                <w:sz w:val="20"/>
              </w:rPr>
              <w:t>10.10</w:t>
            </w:r>
          </w:p>
        </w:tc>
        <w:tc>
          <w:tcPr>
            <w:tcW w:w="8918" w:type="dxa"/>
            <w:tcBorders/>
            <w:vAlign w:val="center"/>
          </w:tcPr>
          <w:p>
            <w:pPr>
              <w:pStyle w:val="TableContents"/>
              <w:bidi w:val="0"/>
              <w:spacing w:before="0" w:after="283"/>
              <w:jc w:val="left"/>
              <w:rPr>
                <w:sz w:val="20"/>
              </w:rPr>
            </w:pPr>
            <w:r>
              <w:rPr>
                <w:sz w:val="20"/>
              </w:rPr>
              <w:t>Guaranty Matters</w:t>
            </w:r>
          </w:p>
        </w:tc>
        <w:tc>
          <w:tcPr>
            <w:tcW w:w="606" w:type="dxa"/>
            <w:tcBorders/>
            <w:vAlign w:val="center"/>
          </w:tcPr>
          <w:p>
            <w:pPr>
              <w:pStyle w:val="TableContents"/>
              <w:bidi w:val="0"/>
              <w:spacing w:before="0" w:after="283"/>
              <w:jc w:val="right"/>
              <w:rPr/>
            </w:pPr>
            <w:r>
              <w:rPr>
                <w:strike/>
                <w:color w:val="FF0000"/>
                <w:sz w:val="20"/>
              </w:rPr>
              <w:t>87</w:t>
            </w:r>
            <w:r>
              <w:rPr>
                <w:color w:val="0000FF"/>
                <w:u w:val="single"/>
              </w:rPr>
              <w:t>118</w:t>
            </w:r>
          </w:p>
        </w:tc>
      </w:tr>
      <w:tr>
        <w:trPr/>
        <w:tc>
          <w:tcPr>
            <w:tcW w:w="681" w:type="dxa"/>
            <w:tcBorders/>
            <w:vAlign w:val="center"/>
          </w:tcPr>
          <w:p>
            <w:pPr>
              <w:pStyle w:val="TableContents"/>
              <w:bidi w:val="0"/>
              <w:spacing w:before="0" w:after="283"/>
              <w:jc w:val="left"/>
              <w:rPr>
                <w:sz w:val="20"/>
              </w:rPr>
            </w:pPr>
            <w:r>
              <w:rPr>
                <w:sz w:val="20"/>
              </w:rPr>
              <w:t>10.11</w:t>
            </w:r>
          </w:p>
        </w:tc>
        <w:tc>
          <w:tcPr>
            <w:tcW w:w="8918" w:type="dxa"/>
            <w:tcBorders/>
            <w:vAlign w:val="center"/>
          </w:tcPr>
          <w:p>
            <w:pPr>
              <w:pStyle w:val="TableContents"/>
              <w:bidi w:val="0"/>
              <w:spacing w:before="0" w:after="283"/>
              <w:jc w:val="left"/>
              <w:rPr>
                <w:sz w:val="20"/>
              </w:rPr>
            </w:pPr>
            <w:r>
              <w:rPr>
                <w:sz w:val="20"/>
              </w:rPr>
              <w:t>Agent’s</w:t>
            </w:r>
            <w:r>
              <w:rPr>
                <w:color w:val="0000FF"/>
                <w:sz w:val="20"/>
                <w:u w:val="single"/>
              </w:rPr>
              <w:t>, L/C Issuer’s and Swingline Lender’s</w:t>
            </w:r>
            <w:r>
              <w:rPr>
                <w:sz w:val="20"/>
              </w:rPr>
              <w:t xml:space="preserve"> Reimbursement and Indemnification</w:t>
            </w:r>
          </w:p>
        </w:tc>
        <w:tc>
          <w:tcPr>
            <w:tcW w:w="606" w:type="dxa"/>
            <w:tcBorders/>
            <w:vAlign w:val="center"/>
          </w:tcPr>
          <w:p>
            <w:pPr>
              <w:pStyle w:val="TableContents"/>
              <w:bidi w:val="0"/>
              <w:spacing w:before="0" w:after="283"/>
              <w:jc w:val="right"/>
              <w:rPr/>
            </w:pPr>
            <w:r>
              <w:rPr>
                <w:strike/>
                <w:color w:val="FF0000"/>
                <w:sz w:val="20"/>
              </w:rPr>
              <w:t>87</w:t>
            </w:r>
            <w:r>
              <w:rPr>
                <w:color w:val="0000FF"/>
                <w:u w:val="single"/>
              </w:rPr>
              <w:t>118</w:t>
            </w:r>
          </w:p>
        </w:tc>
      </w:tr>
      <w:tr>
        <w:trPr/>
        <w:tc>
          <w:tcPr>
            <w:tcW w:w="681" w:type="dxa"/>
            <w:tcBorders/>
            <w:vAlign w:val="center"/>
          </w:tcPr>
          <w:p>
            <w:pPr>
              <w:pStyle w:val="TableContents"/>
              <w:bidi w:val="0"/>
              <w:spacing w:before="0" w:after="283"/>
              <w:jc w:val="left"/>
              <w:rPr>
                <w:sz w:val="20"/>
              </w:rPr>
            </w:pPr>
            <w:r>
              <w:rPr>
                <w:sz w:val="20"/>
              </w:rPr>
              <w:t>10.12</w:t>
            </w:r>
          </w:p>
        </w:tc>
        <w:tc>
          <w:tcPr>
            <w:tcW w:w="8918" w:type="dxa"/>
            <w:tcBorders/>
            <w:vAlign w:val="center"/>
          </w:tcPr>
          <w:p>
            <w:pPr>
              <w:pStyle w:val="TableContents"/>
              <w:bidi w:val="0"/>
              <w:spacing w:before="0" w:after="283"/>
              <w:jc w:val="left"/>
              <w:rPr>
                <w:sz w:val="20"/>
              </w:rPr>
            </w:pPr>
            <w:r>
              <w:rPr>
                <w:sz w:val="20"/>
              </w:rPr>
              <w:t>Banking Services</w:t>
            </w:r>
          </w:p>
        </w:tc>
        <w:tc>
          <w:tcPr>
            <w:tcW w:w="606" w:type="dxa"/>
            <w:tcBorders/>
            <w:vAlign w:val="center"/>
          </w:tcPr>
          <w:p>
            <w:pPr>
              <w:pStyle w:val="TableContents"/>
              <w:bidi w:val="0"/>
              <w:spacing w:before="0" w:after="283"/>
              <w:jc w:val="right"/>
              <w:rPr/>
            </w:pPr>
            <w:r>
              <w:rPr>
                <w:strike/>
                <w:color w:val="FF0000"/>
                <w:sz w:val="20"/>
              </w:rPr>
              <w:t>87</w:t>
            </w:r>
            <w:r>
              <w:rPr>
                <w:color w:val="0000FF"/>
                <w:u w:val="single"/>
              </w:rPr>
              <w:t>118</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XI. SETOFF; RATABLE PAYMENTS</w:t>
            </w:r>
          </w:p>
        </w:tc>
        <w:tc>
          <w:tcPr>
            <w:tcW w:w="606" w:type="dxa"/>
            <w:tcBorders/>
            <w:vAlign w:val="center"/>
          </w:tcPr>
          <w:p>
            <w:pPr>
              <w:pStyle w:val="TableContents"/>
              <w:bidi w:val="0"/>
              <w:spacing w:before="0" w:after="283"/>
              <w:jc w:val="right"/>
              <w:rPr/>
            </w:pPr>
            <w:r>
              <w:rPr>
                <w:b/>
                <w:caps/>
                <w:strike/>
                <w:color w:val="FF0000"/>
                <w:sz w:val="20"/>
              </w:rPr>
              <w:t>89</w:t>
            </w:r>
            <w:r>
              <w:rPr>
                <w:b/>
                <w:color w:val="0000FF"/>
                <w:u w:val="single"/>
              </w:rPr>
              <w:t>120</w:t>
            </w:r>
          </w:p>
        </w:tc>
      </w:tr>
      <w:tr>
        <w:trPr/>
        <w:tc>
          <w:tcPr>
            <w:tcW w:w="681" w:type="dxa"/>
            <w:tcBorders/>
            <w:vAlign w:val="center"/>
          </w:tcPr>
          <w:p>
            <w:pPr>
              <w:pStyle w:val="TableContents"/>
              <w:bidi w:val="0"/>
              <w:spacing w:before="0" w:after="283"/>
              <w:jc w:val="left"/>
              <w:rPr>
                <w:sz w:val="20"/>
              </w:rPr>
            </w:pPr>
            <w:r>
              <w:rPr>
                <w:sz w:val="20"/>
              </w:rPr>
              <w:t>11.1</w:t>
            </w:r>
          </w:p>
        </w:tc>
        <w:tc>
          <w:tcPr>
            <w:tcW w:w="8918" w:type="dxa"/>
            <w:tcBorders/>
            <w:vAlign w:val="center"/>
          </w:tcPr>
          <w:p>
            <w:pPr>
              <w:pStyle w:val="TableContents"/>
              <w:bidi w:val="0"/>
              <w:spacing w:before="0" w:after="283"/>
              <w:jc w:val="left"/>
              <w:rPr>
                <w:sz w:val="20"/>
              </w:rPr>
            </w:pPr>
            <w:r>
              <w:rPr>
                <w:sz w:val="20"/>
              </w:rPr>
              <w:t>Setoff</w:t>
            </w:r>
          </w:p>
        </w:tc>
        <w:tc>
          <w:tcPr>
            <w:tcW w:w="606" w:type="dxa"/>
            <w:tcBorders/>
            <w:vAlign w:val="center"/>
          </w:tcPr>
          <w:p>
            <w:pPr>
              <w:pStyle w:val="TableContents"/>
              <w:bidi w:val="0"/>
              <w:spacing w:before="0" w:after="283"/>
              <w:jc w:val="right"/>
              <w:rPr/>
            </w:pPr>
            <w:r>
              <w:rPr>
                <w:strike/>
                <w:color w:val="FF0000"/>
                <w:sz w:val="20"/>
              </w:rPr>
              <w:t>89</w:t>
            </w:r>
            <w:r>
              <w:rPr>
                <w:color w:val="0000FF"/>
                <w:u w:val="single"/>
              </w:rPr>
              <w:t>120</w:t>
            </w:r>
          </w:p>
        </w:tc>
      </w:tr>
      <w:tr>
        <w:trPr/>
        <w:tc>
          <w:tcPr>
            <w:tcW w:w="681" w:type="dxa"/>
            <w:tcBorders/>
            <w:vAlign w:val="center"/>
          </w:tcPr>
          <w:p>
            <w:pPr>
              <w:pStyle w:val="TableContents"/>
              <w:bidi w:val="0"/>
              <w:spacing w:before="0" w:after="283"/>
              <w:jc w:val="left"/>
              <w:rPr>
                <w:sz w:val="20"/>
              </w:rPr>
            </w:pPr>
            <w:r>
              <w:rPr>
                <w:sz w:val="20"/>
              </w:rPr>
              <w:t>11.2</w:t>
            </w:r>
          </w:p>
        </w:tc>
        <w:tc>
          <w:tcPr>
            <w:tcW w:w="8918" w:type="dxa"/>
            <w:tcBorders/>
            <w:vAlign w:val="center"/>
          </w:tcPr>
          <w:p>
            <w:pPr>
              <w:pStyle w:val="TableContents"/>
              <w:bidi w:val="0"/>
              <w:spacing w:before="0" w:after="283"/>
              <w:jc w:val="left"/>
              <w:rPr>
                <w:sz w:val="20"/>
              </w:rPr>
            </w:pPr>
            <w:r>
              <w:rPr>
                <w:sz w:val="20"/>
              </w:rPr>
              <w:t>Ratable Payments</w:t>
            </w:r>
          </w:p>
        </w:tc>
        <w:tc>
          <w:tcPr>
            <w:tcW w:w="606" w:type="dxa"/>
            <w:tcBorders/>
            <w:vAlign w:val="center"/>
          </w:tcPr>
          <w:p>
            <w:pPr>
              <w:pStyle w:val="TableContents"/>
              <w:bidi w:val="0"/>
              <w:spacing w:before="0" w:after="283"/>
              <w:jc w:val="right"/>
              <w:rPr/>
            </w:pPr>
            <w:r>
              <w:rPr>
                <w:strike/>
                <w:color w:val="FF0000"/>
                <w:sz w:val="20"/>
              </w:rPr>
              <w:t>90</w:t>
            </w:r>
            <w:r>
              <w:rPr>
                <w:color w:val="0000FF"/>
                <w:u w:val="single"/>
              </w:rPr>
              <w:t>121</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XII. BENEFIT OF AGREEMENT; ASSIGNMENTS; PARTICIPATIONS</w:t>
            </w:r>
          </w:p>
        </w:tc>
        <w:tc>
          <w:tcPr>
            <w:tcW w:w="606" w:type="dxa"/>
            <w:tcBorders/>
            <w:vAlign w:val="center"/>
          </w:tcPr>
          <w:p>
            <w:pPr>
              <w:pStyle w:val="TableContents"/>
              <w:bidi w:val="0"/>
              <w:spacing w:before="0" w:after="283"/>
              <w:jc w:val="right"/>
              <w:rPr/>
            </w:pPr>
            <w:r>
              <w:rPr>
                <w:b/>
                <w:caps/>
                <w:strike/>
                <w:color w:val="FF0000"/>
                <w:sz w:val="20"/>
              </w:rPr>
              <w:t>90</w:t>
            </w:r>
            <w:r>
              <w:rPr>
                <w:b/>
                <w:color w:val="0000FF"/>
                <w:u w:val="single"/>
              </w:rPr>
              <w:t>121</w:t>
            </w:r>
          </w:p>
        </w:tc>
      </w:tr>
      <w:tr>
        <w:trPr/>
        <w:tc>
          <w:tcPr>
            <w:tcW w:w="681" w:type="dxa"/>
            <w:tcBorders/>
            <w:vAlign w:val="center"/>
          </w:tcPr>
          <w:p>
            <w:pPr>
              <w:pStyle w:val="TableContents"/>
              <w:bidi w:val="0"/>
              <w:spacing w:before="0" w:after="283"/>
              <w:jc w:val="left"/>
              <w:rPr>
                <w:sz w:val="20"/>
              </w:rPr>
            </w:pPr>
            <w:r>
              <w:rPr>
                <w:sz w:val="20"/>
              </w:rPr>
              <w:t>12.1</w:t>
            </w:r>
          </w:p>
        </w:tc>
        <w:tc>
          <w:tcPr>
            <w:tcW w:w="8918" w:type="dxa"/>
            <w:tcBorders/>
            <w:vAlign w:val="center"/>
          </w:tcPr>
          <w:p>
            <w:pPr>
              <w:pStyle w:val="TableContents"/>
              <w:bidi w:val="0"/>
              <w:spacing w:before="0" w:after="283"/>
              <w:jc w:val="left"/>
              <w:rPr>
                <w:sz w:val="20"/>
              </w:rPr>
            </w:pPr>
            <w:r>
              <w:rPr>
                <w:sz w:val="20"/>
              </w:rPr>
              <w:t>Successors and Assigns</w:t>
            </w:r>
          </w:p>
        </w:tc>
        <w:tc>
          <w:tcPr>
            <w:tcW w:w="606" w:type="dxa"/>
            <w:tcBorders/>
            <w:vAlign w:val="center"/>
          </w:tcPr>
          <w:p>
            <w:pPr>
              <w:pStyle w:val="TableContents"/>
              <w:bidi w:val="0"/>
              <w:spacing w:before="0" w:after="283"/>
              <w:jc w:val="right"/>
              <w:rPr/>
            </w:pPr>
            <w:r>
              <w:rPr>
                <w:strike/>
                <w:color w:val="FF0000"/>
                <w:sz w:val="20"/>
              </w:rPr>
              <w:t>90</w:t>
            </w:r>
            <w:r>
              <w:rPr>
                <w:color w:val="0000FF"/>
                <w:u w:val="single"/>
              </w:rPr>
              <w:t>121</w:t>
            </w:r>
          </w:p>
        </w:tc>
      </w:tr>
      <w:tr>
        <w:trPr/>
        <w:tc>
          <w:tcPr>
            <w:tcW w:w="681" w:type="dxa"/>
            <w:tcBorders/>
            <w:vAlign w:val="center"/>
          </w:tcPr>
          <w:p>
            <w:pPr>
              <w:pStyle w:val="TableContents"/>
              <w:bidi w:val="0"/>
              <w:spacing w:before="0" w:after="283"/>
              <w:jc w:val="left"/>
              <w:rPr>
                <w:sz w:val="20"/>
              </w:rPr>
            </w:pPr>
            <w:r>
              <w:rPr>
                <w:sz w:val="20"/>
              </w:rPr>
              <w:t>12.2</w:t>
            </w:r>
          </w:p>
        </w:tc>
        <w:tc>
          <w:tcPr>
            <w:tcW w:w="8918" w:type="dxa"/>
            <w:tcBorders/>
            <w:vAlign w:val="center"/>
          </w:tcPr>
          <w:p>
            <w:pPr>
              <w:pStyle w:val="TableContents"/>
              <w:bidi w:val="0"/>
              <w:spacing w:before="0" w:after="283"/>
              <w:jc w:val="left"/>
              <w:rPr>
                <w:sz w:val="20"/>
              </w:rPr>
            </w:pPr>
            <w:r>
              <w:rPr>
                <w:sz w:val="20"/>
              </w:rPr>
              <w:t>Participations</w:t>
            </w:r>
          </w:p>
        </w:tc>
        <w:tc>
          <w:tcPr>
            <w:tcW w:w="606" w:type="dxa"/>
            <w:tcBorders/>
            <w:vAlign w:val="center"/>
          </w:tcPr>
          <w:p>
            <w:pPr>
              <w:pStyle w:val="TableContents"/>
              <w:bidi w:val="0"/>
              <w:spacing w:before="0" w:after="283"/>
              <w:jc w:val="right"/>
              <w:rPr/>
            </w:pPr>
            <w:r>
              <w:rPr>
                <w:strike/>
                <w:color w:val="FF0000"/>
                <w:sz w:val="20"/>
              </w:rPr>
              <w:t>90</w:t>
            </w:r>
            <w:r>
              <w:rPr>
                <w:color w:val="0000FF"/>
                <w:u w:val="single"/>
              </w:rPr>
              <w:t>121</w:t>
            </w:r>
          </w:p>
        </w:tc>
      </w:tr>
      <w:tr>
        <w:trPr/>
        <w:tc>
          <w:tcPr>
            <w:tcW w:w="681" w:type="dxa"/>
            <w:tcBorders/>
            <w:vAlign w:val="center"/>
          </w:tcPr>
          <w:p>
            <w:pPr>
              <w:pStyle w:val="TableContents"/>
              <w:bidi w:val="0"/>
              <w:spacing w:before="0" w:after="283"/>
              <w:jc w:val="left"/>
              <w:rPr>
                <w:sz w:val="20"/>
              </w:rPr>
            </w:pPr>
            <w:r>
              <w:rPr>
                <w:sz w:val="20"/>
              </w:rPr>
              <w:t>12.3</w:t>
            </w:r>
          </w:p>
        </w:tc>
        <w:tc>
          <w:tcPr>
            <w:tcW w:w="8918" w:type="dxa"/>
            <w:tcBorders/>
            <w:vAlign w:val="center"/>
          </w:tcPr>
          <w:p>
            <w:pPr>
              <w:pStyle w:val="TableContents"/>
              <w:bidi w:val="0"/>
              <w:spacing w:before="0" w:after="283"/>
              <w:jc w:val="left"/>
              <w:rPr>
                <w:sz w:val="20"/>
              </w:rPr>
            </w:pPr>
            <w:r>
              <w:rPr>
                <w:sz w:val="20"/>
              </w:rPr>
              <w:t>Successors and Assigns</w:t>
            </w:r>
          </w:p>
        </w:tc>
        <w:tc>
          <w:tcPr>
            <w:tcW w:w="606" w:type="dxa"/>
            <w:tcBorders/>
            <w:vAlign w:val="center"/>
          </w:tcPr>
          <w:p>
            <w:pPr>
              <w:pStyle w:val="TableContents"/>
              <w:bidi w:val="0"/>
              <w:spacing w:before="0" w:after="283"/>
              <w:jc w:val="right"/>
              <w:rPr/>
            </w:pPr>
            <w:r>
              <w:rPr>
                <w:strike/>
                <w:color w:val="FF0000"/>
                <w:sz w:val="20"/>
              </w:rPr>
              <w:t>91</w:t>
            </w:r>
            <w:r>
              <w:rPr>
                <w:color w:val="0000FF"/>
                <w:u w:val="single"/>
              </w:rPr>
              <w:t>123</w:t>
            </w:r>
          </w:p>
        </w:tc>
      </w:tr>
      <w:tr>
        <w:trPr/>
        <w:tc>
          <w:tcPr>
            <w:tcW w:w="681" w:type="dxa"/>
            <w:tcBorders/>
            <w:vAlign w:val="center"/>
          </w:tcPr>
          <w:p>
            <w:pPr>
              <w:pStyle w:val="TableContents"/>
              <w:bidi w:val="0"/>
              <w:spacing w:before="0" w:after="283"/>
              <w:jc w:val="left"/>
              <w:rPr>
                <w:sz w:val="20"/>
              </w:rPr>
            </w:pPr>
            <w:r>
              <w:rPr>
                <w:sz w:val="20"/>
              </w:rPr>
              <w:t>12.4</w:t>
            </w:r>
          </w:p>
        </w:tc>
        <w:tc>
          <w:tcPr>
            <w:tcW w:w="8918" w:type="dxa"/>
            <w:tcBorders/>
            <w:vAlign w:val="center"/>
          </w:tcPr>
          <w:p>
            <w:pPr>
              <w:pStyle w:val="TableContents"/>
              <w:bidi w:val="0"/>
              <w:spacing w:before="0" w:after="283"/>
              <w:jc w:val="left"/>
              <w:rPr>
                <w:sz w:val="20"/>
              </w:rPr>
            </w:pPr>
            <w:r>
              <w:rPr>
                <w:sz w:val="20"/>
              </w:rPr>
              <w:t>Dissemination of Information</w:t>
            </w:r>
          </w:p>
        </w:tc>
        <w:tc>
          <w:tcPr>
            <w:tcW w:w="606" w:type="dxa"/>
            <w:tcBorders/>
            <w:vAlign w:val="center"/>
          </w:tcPr>
          <w:p>
            <w:pPr>
              <w:pStyle w:val="TableContents"/>
              <w:bidi w:val="0"/>
              <w:spacing w:before="0" w:after="283"/>
              <w:jc w:val="right"/>
              <w:rPr/>
            </w:pPr>
            <w:r>
              <w:rPr>
                <w:strike/>
                <w:color w:val="FF0000"/>
                <w:sz w:val="20"/>
              </w:rPr>
              <w:t>94</w:t>
            </w:r>
            <w:r>
              <w:rPr>
                <w:color w:val="0000FF"/>
                <w:u w:val="single"/>
              </w:rPr>
              <w:t>126</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XIII. NOTICES</w:t>
            </w:r>
          </w:p>
        </w:tc>
        <w:tc>
          <w:tcPr>
            <w:tcW w:w="606" w:type="dxa"/>
            <w:tcBorders/>
            <w:vAlign w:val="center"/>
          </w:tcPr>
          <w:p>
            <w:pPr>
              <w:pStyle w:val="TableContents"/>
              <w:bidi w:val="0"/>
              <w:spacing w:before="0" w:after="283"/>
              <w:jc w:val="right"/>
              <w:rPr/>
            </w:pPr>
            <w:r>
              <w:rPr>
                <w:b/>
                <w:caps/>
                <w:strike/>
                <w:color w:val="FF0000"/>
                <w:sz w:val="20"/>
              </w:rPr>
              <w:t>95</w:t>
            </w:r>
            <w:r>
              <w:rPr>
                <w:b/>
                <w:color w:val="0000FF"/>
                <w:u w:val="single"/>
              </w:rPr>
              <w:t>127</w:t>
            </w:r>
          </w:p>
        </w:tc>
      </w:tr>
      <w:tr>
        <w:trPr/>
        <w:tc>
          <w:tcPr>
            <w:tcW w:w="681" w:type="dxa"/>
            <w:tcBorders/>
            <w:vAlign w:val="center"/>
          </w:tcPr>
          <w:p>
            <w:pPr>
              <w:pStyle w:val="TableContents"/>
              <w:bidi w:val="0"/>
              <w:spacing w:before="0" w:after="283"/>
              <w:jc w:val="left"/>
              <w:rPr>
                <w:sz w:val="20"/>
              </w:rPr>
            </w:pPr>
            <w:r>
              <w:rPr>
                <w:sz w:val="20"/>
              </w:rPr>
              <w:t>13.1</w:t>
            </w:r>
          </w:p>
        </w:tc>
        <w:tc>
          <w:tcPr>
            <w:tcW w:w="8918" w:type="dxa"/>
            <w:tcBorders/>
            <w:vAlign w:val="center"/>
          </w:tcPr>
          <w:p>
            <w:pPr>
              <w:pStyle w:val="TableContents"/>
              <w:bidi w:val="0"/>
              <w:spacing w:before="0" w:after="283"/>
              <w:jc w:val="left"/>
              <w:rPr>
                <w:sz w:val="20"/>
              </w:rPr>
            </w:pPr>
            <w:r>
              <w:rPr>
                <w:sz w:val="20"/>
              </w:rPr>
              <w:t>Notices</w:t>
            </w:r>
          </w:p>
        </w:tc>
        <w:tc>
          <w:tcPr>
            <w:tcW w:w="606" w:type="dxa"/>
            <w:tcBorders/>
            <w:vAlign w:val="center"/>
          </w:tcPr>
          <w:p>
            <w:pPr>
              <w:pStyle w:val="TableContents"/>
              <w:bidi w:val="0"/>
              <w:spacing w:before="0" w:after="283"/>
              <w:jc w:val="right"/>
              <w:rPr/>
            </w:pPr>
            <w:r>
              <w:rPr>
                <w:strike/>
                <w:color w:val="FF0000"/>
                <w:sz w:val="20"/>
              </w:rPr>
              <w:t>95</w:t>
            </w:r>
            <w:r>
              <w:rPr>
                <w:color w:val="0000FF"/>
                <w:u w:val="single"/>
              </w:rPr>
              <w:t>127</w:t>
            </w:r>
          </w:p>
        </w:tc>
      </w:tr>
      <w:tr>
        <w:trPr/>
        <w:tc>
          <w:tcPr>
            <w:tcW w:w="681" w:type="dxa"/>
            <w:tcBorders/>
            <w:vAlign w:val="center"/>
          </w:tcPr>
          <w:p>
            <w:pPr>
              <w:pStyle w:val="TableContents"/>
              <w:bidi w:val="0"/>
              <w:spacing w:before="0" w:after="283"/>
              <w:jc w:val="left"/>
              <w:rPr>
                <w:sz w:val="20"/>
              </w:rPr>
            </w:pPr>
            <w:r>
              <w:rPr>
                <w:sz w:val="20"/>
              </w:rPr>
              <w:t>13.2</w:t>
            </w:r>
          </w:p>
        </w:tc>
        <w:tc>
          <w:tcPr>
            <w:tcW w:w="8918" w:type="dxa"/>
            <w:tcBorders/>
            <w:vAlign w:val="center"/>
          </w:tcPr>
          <w:p>
            <w:pPr>
              <w:pStyle w:val="TableContents"/>
              <w:bidi w:val="0"/>
              <w:spacing w:before="0" w:after="283"/>
              <w:jc w:val="left"/>
              <w:rPr>
                <w:sz w:val="20"/>
              </w:rPr>
            </w:pPr>
            <w:r>
              <w:rPr>
                <w:sz w:val="20"/>
              </w:rPr>
              <w:t>Change of Address</w:t>
            </w:r>
          </w:p>
        </w:tc>
        <w:tc>
          <w:tcPr>
            <w:tcW w:w="606" w:type="dxa"/>
            <w:tcBorders/>
            <w:vAlign w:val="center"/>
          </w:tcPr>
          <w:p>
            <w:pPr>
              <w:pStyle w:val="TableContents"/>
              <w:bidi w:val="0"/>
              <w:spacing w:before="0" w:after="283"/>
              <w:jc w:val="right"/>
              <w:rPr/>
            </w:pPr>
            <w:r>
              <w:rPr>
                <w:strike/>
                <w:color w:val="FF0000"/>
                <w:sz w:val="20"/>
              </w:rPr>
              <w:t>95</w:t>
            </w:r>
            <w:r>
              <w:rPr>
                <w:color w:val="0000FF"/>
                <w:u w:val="single"/>
              </w:rPr>
              <w:t>128</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XIV. COUNTERPARTS</w:t>
            </w:r>
          </w:p>
        </w:tc>
        <w:tc>
          <w:tcPr>
            <w:tcW w:w="606" w:type="dxa"/>
            <w:tcBorders/>
            <w:vAlign w:val="center"/>
          </w:tcPr>
          <w:p>
            <w:pPr>
              <w:pStyle w:val="TableContents"/>
              <w:bidi w:val="0"/>
              <w:spacing w:before="0" w:after="283"/>
              <w:jc w:val="right"/>
              <w:rPr/>
            </w:pPr>
            <w:r>
              <w:rPr>
                <w:b/>
                <w:caps/>
                <w:strike/>
                <w:color w:val="FF0000"/>
                <w:sz w:val="20"/>
              </w:rPr>
              <w:t>95</w:t>
            </w:r>
            <w:r>
              <w:rPr>
                <w:b/>
                <w:color w:val="0000FF"/>
                <w:u w:val="single"/>
              </w:rPr>
              <w:t>128</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XV. CHOICE OF LAW; CONSENT TO JURISDICTION; WAIVER OF JURY TRIAL; MAXIMUM RATE</w:t>
            </w:r>
          </w:p>
        </w:tc>
        <w:tc>
          <w:tcPr>
            <w:tcW w:w="606" w:type="dxa"/>
            <w:tcBorders/>
            <w:vAlign w:val="center"/>
          </w:tcPr>
          <w:p>
            <w:pPr>
              <w:pStyle w:val="TableContents"/>
              <w:bidi w:val="0"/>
              <w:spacing w:before="0" w:after="283"/>
              <w:jc w:val="right"/>
              <w:rPr/>
            </w:pPr>
            <w:r>
              <w:rPr>
                <w:b/>
                <w:caps/>
                <w:strike/>
                <w:color w:val="FF0000"/>
                <w:sz w:val="20"/>
              </w:rPr>
              <w:t>95</w:t>
            </w:r>
            <w:r>
              <w:rPr>
                <w:b/>
                <w:color w:val="0000FF"/>
                <w:u w:val="single"/>
              </w:rPr>
              <w:t>128</w:t>
            </w:r>
          </w:p>
        </w:tc>
      </w:tr>
      <w:tr>
        <w:trPr/>
        <w:tc>
          <w:tcPr>
            <w:tcW w:w="681" w:type="dxa"/>
            <w:tcBorders/>
            <w:vAlign w:val="center"/>
          </w:tcPr>
          <w:p>
            <w:pPr>
              <w:pStyle w:val="TableContents"/>
              <w:bidi w:val="0"/>
              <w:spacing w:before="0" w:after="283"/>
              <w:jc w:val="left"/>
              <w:rPr>
                <w:sz w:val="20"/>
              </w:rPr>
            </w:pPr>
            <w:r>
              <w:rPr>
                <w:sz w:val="20"/>
              </w:rPr>
              <w:t>15.1</w:t>
            </w:r>
          </w:p>
        </w:tc>
        <w:tc>
          <w:tcPr>
            <w:tcW w:w="8918" w:type="dxa"/>
            <w:tcBorders/>
            <w:vAlign w:val="center"/>
          </w:tcPr>
          <w:p>
            <w:pPr>
              <w:pStyle w:val="TableContents"/>
              <w:bidi w:val="0"/>
              <w:spacing w:before="0" w:after="283"/>
              <w:jc w:val="left"/>
              <w:rPr>
                <w:sz w:val="20"/>
              </w:rPr>
            </w:pPr>
            <w:r>
              <w:rPr>
                <w:sz w:val="20"/>
              </w:rPr>
              <w:t>CHOICE OF LAW</w:t>
            </w:r>
          </w:p>
        </w:tc>
        <w:tc>
          <w:tcPr>
            <w:tcW w:w="606" w:type="dxa"/>
            <w:tcBorders/>
            <w:vAlign w:val="center"/>
          </w:tcPr>
          <w:p>
            <w:pPr>
              <w:pStyle w:val="TableContents"/>
              <w:bidi w:val="0"/>
              <w:spacing w:before="0" w:after="283"/>
              <w:jc w:val="right"/>
              <w:rPr/>
            </w:pPr>
            <w:r>
              <w:rPr>
                <w:strike/>
                <w:color w:val="FF0000"/>
                <w:sz w:val="20"/>
              </w:rPr>
              <w:t>95</w:t>
            </w:r>
            <w:r>
              <w:rPr>
                <w:color w:val="0000FF"/>
                <w:u w:val="single"/>
              </w:rPr>
              <w:t>128</w:t>
            </w:r>
          </w:p>
        </w:tc>
      </w:tr>
      <w:tr>
        <w:trPr/>
        <w:tc>
          <w:tcPr>
            <w:tcW w:w="681" w:type="dxa"/>
            <w:tcBorders/>
            <w:vAlign w:val="center"/>
          </w:tcPr>
          <w:p>
            <w:pPr>
              <w:pStyle w:val="TableContents"/>
              <w:bidi w:val="0"/>
              <w:spacing w:before="0" w:after="283"/>
              <w:jc w:val="left"/>
              <w:rPr>
                <w:sz w:val="20"/>
              </w:rPr>
            </w:pPr>
            <w:r>
              <w:rPr>
                <w:sz w:val="20"/>
              </w:rPr>
              <w:t>15.2</w:t>
            </w:r>
          </w:p>
        </w:tc>
        <w:tc>
          <w:tcPr>
            <w:tcW w:w="8918" w:type="dxa"/>
            <w:tcBorders/>
            <w:vAlign w:val="center"/>
          </w:tcPr>
          <w:p>
            <w:pPr>
              <w:pStyle w:val="TableContents"/>
              <w:bidi w:val="0"/>
              <w:spacing w:before="0" w:after="283"/>
              <w:jc w:val="left"/>
              <w:rPr>
                <w:sz w:val="20"/>
              </w:rPr>
            </w:pPr>
            <w:r>
              <w:rPr>
                <w:sz w:val="20"/>
              </w:rPr>
              <w:t>CONSENT TO JURISDICTION</w:t>
            </w:r>
          </w:p>
        </w:tc>
        <w:tc>
          <w:tcPr>
            <w:tcW w:w="606" w:type="dxa"/>
            <w:tcBorders/>
            <w:vAlign w:val="center"/>
          </w:tcPr>
          <w:p>
            <w:pPr>
              <w:pStyle w:val="TableContents"/>
              <w:bidi w:val="0"/>
              <w:spacing w:before="0" w:after="283"/>
              <w:jc w:val="right"/>
              <w:rPr/>
            </w:pPr>
            <w:r>
              <w:rPr>
                <w:strike/>
                <w:color w:val="FF0000"/>
                <w:sz w:val="20"/>
              </w:rPr>
              <w:t>95</w:t>
            </w:r>
            <w:r>
              <w:rPr>
                <w:color w:val="0000FF"/>
                <w:u w:val="single"/>
              </w:rPr>
              <w:t>128</w:t>
            </w:r>
          </w:p>
        </w:tc>
      </w:tr>
      <w:tr>
        <w:trPr/>
        <w:tc>
          <w:tcPr>
            <w:tcW w:w="681" w:type="dxa"/>
            <w:tcBorders/>
            <w:vAlign w:val="center"/>
          </w:tcPr>
          <w:p>
            <w:pPr>
              <w:pStyle w:val="TableContents"/>
              <w:bidi w:val="0"/>
              <w:spacing w:before="0" w:after="283"/>
              <w:jc w:val="left"/>
              <w:rPr>
                <w:sz w:val="20"/>
              </w:rPr>
            </w:pPr>
            <w:r>
              <w:rPr>
                <w:sz w:val="20"/>
              </w:rPr>
              <w:t>15.3</w:t>
            </w:r>
          </w:p>
        </w:tc>
        <w:tc>
          <w:tcPr>
            <w:tcW w:w="8918" w:type="dxa"/>
            <w:tcBorders/>
            <w:vAlign w:val="center"/>
          </w:tcPr>
          <w:p>
            <w:pPr>
              <w:pStyle w:val="TableContents"/>
              <w:bidi w:val="0"/>
              <w:spacing w:before="0" w:after="283"/>
              <w:jc w:val="left"/>
              <w:rPr>
                <w:b/>
                <w:sz w:val="20"/>
              </w:rPr>
            </w:pPr>
            <w:r>
              <w:rPr>
                <w:b/>
                <w:sz w:val="20"/>
              </w:rPr>
              <w:t>WAIVER OF JURY TRIAL</w:t>
            </w:r>
          </w:p>
        </w:tc>
        <w:tc>
          <w:tcPr>
            <w:tcW w:w="606" w:type="dxa"/>
            <w:tcBorders/>
            <w:vAlign w:val="center"/>
          </w:tcPr>
          <w:p>
            <w:pPr>
              <w:pStyle w:val="TableContents"/>
              <w:bidi w:val="0"/>
              <w:spacing w:before="0" w:after="283"/>
              <w:jc w:val="right"/>
              <w:rPr/>
            </w:pPr>
            <w:r>
              <w:rPr>
                <w:strike/>
                <w:color w:val="FF0000"/>
                <w:sz w:val="20"/>
              </w:rPr>
              <w:t>96</w:t>
            </w:r>
            <w:r>
              <w:rPr>
                <w:color w:val="0000FF"/>
                <w:u w:val="single"/>
              </w:rPr>
              <w:t>128</w:t>
            </w:r>
          </w:p>
        </w:tc>
      </w:tr>
      <w:tr>
        <w:trPr/>
        <w:tc>
          <w:tcPr>
            <w:tcW w:w="681" w:type="dxa"/>
            <w:tcBorders/>
            <w:vAlign w:val="center"/>
          </w:tcPr>
          <w:p>
            <w:pPr>
              <w:pStyle w:val="TableContents"/>
              <w:bidi w:val="0"/>
              <w:spacing w:before="0" w:after="283"/>
              <w:jc w:val="left"/>
              <w:rPr>
                <w:sz w:val="20"/>
              </w:rPr>
            </w:pPr>
            <w:r>
              <w:rPr>
                <w:sz w:val="20"/>
              </w:rPr>
              <w:t>15.4</w:t>
            </w:r>
          </w:p>
        </w:tc>
        <w:tc>
          <w:tcPr>
            <w:tcW w:w="8918" w:type="dxa"/>
            <w:tcBorders/>
            <w:vAlign w:val="center"/>
          </w:tcPr>
          <w:p>
            <w:pPr>
              <w:pStyle w:val="TableContents"/>
              <w:bidi w:val="0"/>
              <w:spacing w:before="0" w:after="283"/>
              <w:jc w:val="left"/>
              <w:rPr>
                <w:sz w:val="20"/>
              </w:rPr>
            </w:pPr>
            <w:r>
              <w:rPr>
                <w:sz w:val="20"/>
              </w:rPr>
              <w:t>MAXIMUM RATE</w:t>
            </w:r>
          </w:p>
        </w:tc>
        <w:tc>
          <w:tcPr>
            <w:tcW w:w="606" w:type="dxa"/>
            <w:tcBorders/>
            <w:vAlign w:val="center"/>
          </w:tcPr>
          <w:p>
            <w:pPr>
              <w:pStyle w:val="TableContents"/>
              <w:bidi w:val="0"/>
              <w:spacing w:before="0" w:after="283"/>
              <w:jc w:val="right"/>
              <w:rPr/>
            </w:pPr>
            <w:r>
              <w:rPr>
                <w:strike/>
                <w:color w:val="FF0000"/>
                <w:sz w:val="20"/>
              </w:rPr>
              <w:t>96</w:t>
            </w:r>
            <w:r>
              <w:rPr>
                <w:color w:val="0000FF"/>
                <w:u w:val="single"/>
              </w:rPr>
              <w:t>129</w:t>
            </w:r>
          </w:p>
        </w:tc>
      </w:tr>
      <w:tr>
        <w:trPr/>
        <w:tc>
          <w:tcPr>
            <w:tcW w:w="681" w:type="dxa"/>
            <w:tcBorders/>
            <w:vAlign w:val="center"/>
          </w:tcPr>
          <w:p>
            <w:pPr>
              <w:pStyle w:val="TableContents"/>
              <w:bidi w:val="0"/>
              <w:spacing w:before="0" w:after="283"/>
              <w:jc w:val="left"/>
              <w:rPr>
                <w:color w:val="0000FF"/>
                <w:u w:val="single"/>
              </w:rPr>
            </w:pPr>
            <w:r>
              <w:rPr>
                <w:color w:val="0000FF"/>
                <w:u w:val="single"/>
              </w:rPr>
              <w:t>15.5</w:t>
            </w:r>
          </w:p>
        </w:tc>
        <w:tc>
          <w:tcPr>
            <w:tcW w:w="8918" w:type="dxa"/>
            <w:tcBorders/>
            <w:vAlign w:val="center"/>
          </w:tcPr>
          <w:p>
            <w:pPr>
              <w:pStyle w:val="TableContents"/>
              <w:bidi w:val="0"/>
              <w:spacing w:before="0" w:after="283"/>
              <w:jc w:val="left"/>
              <w:rPr>
                <w:color w:val="0000FF"/>
                <w:u w:val="single"/>
              </w:rPr>
            </w:pPr>
            <w:r>
              <w:rPr>
                <w:color w:val="0000FF"/>
                <w:u w:val="single"/>
              </w:rPr>
              <w:t>Judgment Currency</w:t>
            </w:r>
          </w:p>
        </w:tc>
        <w:tc>
          <w:tcPr>
            <w:tcW w:w="606" w:type="dxa"/>
            <w:tcBorders/>
            <w:vAlign w:val="center"/>
          </w:tcPr>
          <w:p>
            <w:pPr>
              <w:pStyle w:val="TableContents"/>
              <w:bidi w:val="0"/>
              <w:spacing w:before="0" w:after="283"/>
              <w:jc w:val="right"/>
              <w:rPr>
                <w:color w:val="0000FF"/>
                <w:u w:val="single"/>
              </w:rPr>
            </w:pPr>
            <w:r>
              <w:rPr>
                <w:color w:val="0000FF"/>
                <w:u w:val="single"/>
              </w:rPr>
              <w:t>130</w:t>
            </w:r>
          </w:p>
        </w:tc>
      </w:tr>
      <w:tr>
        <w:trPr/>
        <w:tc>
          <w:tcPr>
            <w:tcW w:w="681"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 </w:t>
            </w:r>
          </w:p>
        </w:tc>
      </w:tr>
      <w:tr>
        <w:trPr/>
        <w:tc>
          <w:tcPr>
            <w:tcW w:w="9599" w:type="dxa"/>
            <w:gridSpan w:val="2"/>
            <w:tcBorders/>
            <w:vAlign w:val="center"/>
          </w:tcPr>
          <w:p>
            <w:pPr>
              <w:pStyle w:val="TableContents"/>
              <w:bidi w:val="0"/>
              <w:spacing w:before="0" w:after="283"/>
              <w:jc w:val="left"/>
              <w:rPr>
                <w:b/>
                <w:caps/>
                <w:sz w:val="20"/>
              </w:rPr>
            </w:pPr>
            <w:r>
              <w:rPr>
                <w:b/>
                <w:caps/>
                <w:sz w:val="20"/>
              </w:rPr>
              <w:t>Article XVI. LOAN GUARANTY</w:t>
            </w:r>
          </w:p>
        </w:tc>
        <w:tc>
          <w:tcPr>
            <w:tcW w:w="606" w:type="dxa"/>
            <w:tcBorders/>
            <w:vAlign w:val="center"/>
          </w:tcPr>
          <w:p>
            <w:pPr>
              <w:pStyle w:val="TableContents"/>
              <w:bidi w:val="0"/>
              <w:spacing w:before="0" w:after="283"/>
              <w:jc w:val="right"/>
              <w:rPr/>
            </w:pPr>
            <w:r>
              <w:rPr>
                <w:b/>
                <w:caps/>
                <w:strike/>
                <w:color w:val="FF0000"/>
                <w:sz w:val="20"/>
              </w:rPr>
              <w:t>97</w:t>
            </w:r>
            <w:r>
              <w:rPr>
                <w:b/>
                <w:color w:val="0000FF"/>
                <w:u w:val="single"/>
              </w:rPr>
              <w:t>130</w:t>
            </w:r>
          </w:p>
        </w:tc>
      </w:tr>
      <w:tr>
        <w:trPr/>
        <w:tc>
          <w:tcPr>
            <w:tcW w:w="681" w:type="dxa"/>
            <w:tcBorders/>
            <w:vAlign w:val="center"/>
          </w:tcPr>
          <w:p>
            <w:pPr>
              <w:pStyle w:val="TableContents"/>
              <w:bidi w:val="0"/>
              <w:spacing w:before="0" w:after="283"/>
              <w:jc w:val="left"/>
              <w:rPr>
                <w:sz w:val="20"/>
              </w:rPr>
            </w:pPr>
            <w:r>
              <w:rPr>
                <w:sz w:val="20"/>
              </w:rPr>
              <w:t>16.1</w:t>
            </w:r>
          </w:p>
        </w:tc>
        <w:tc>
          <w:tcPr>
            <w:tcW w:w="8918" w:type="dxa"/>
            <w:tcBorders/>
            <w:vAlign w:val="center"/>
          </w:tcPr>
          <w:p>
            <w:pPr>
              <w:pStyle w:val="TableContents"/>
              <w:bidi w:val="0"/>
              <w:spacing w:before="0" w:after="283"/>
              <w:jc w:val="left"/>
              <w:rPr>
                <w:sz w:val="20"/>
              </w:rPr>
            </w:pPr>
            <w:r>
              <w:rPr>
                <w:sz w:val="20"/>
              </w:rPr>
              <w:t>Guaranty</w:t>
            </w:r>
          </w:p>
        </w:tc>
        <w:tc>
          <w:tcPr>
            <w:tcW w:w="606" w:type="dxa"/>
            <w:tcBorders/>
            <w:vAlign w:val="center"/>
          </w:tcPr>
          <w:p>
            <w:pPr>
              <w:pStyle w:val="TableContents"/>
              <w:bidi w:val="0"/>
              <w:spacing w:before="0" w:after="283"/>
              <w:jc w:val="right"/>
              <w:rPr/>
            </w:pPr>
            <w:r>
              <w:rPr>
                <w:strike/>
                <w:color w:val="FF0000"/>
                <w:sz w:val="20"/>
              </w:rPr>
              <w:t>97</w:t>
            </w:r>
            <w:r>
              <w:rPr>
                <w:color w:val="0000FF"/>
                <w:u w:val="single"/>
              </w:rPr>
              <w:t>130</w:t>
            </w:r>
          </w:p>
        </w:tc>
      </w:tr>
      <w:tr>
        <w:trPr/>
        <w:tc>
          <w:tcPr>
            <w:tcW w:w="681" w:type="dxa"/>
            <w:tcBorders/>
            <w:vAlign w:val="center"/>
          </w:tcPr>
          <w:p>
            <w:pPr>
              <w:pStyle w:val="TableContents"/>
              <w:bidi w:val="0"/>
              <w:spacing w:before="0" w:after="283"/>
              <w:jc w:val="left"/>
              <w:rPr>
                <w:sz w:val="20"/>
              </w:rPr>
            </w:pPr>
            <w:r>
              <w:rPr>
                <w:sz w:val="20"/>
              </w:rPr>
              <w:t>16.2</w:t>
            </w:r>
          </w:p>
        </w:tc>
        <w:tc>
          <w:tcPr>
            <w:tcW w:w="8918" w:type="dxa"/>
            <w:tcBorders/>
            <w:vAlign w:val="center"/>
          </w:tcPr>
          <w:p>
            <w:pPr>
              <w:pStyle w:val="TableContents"/>
              <w:bidi w:val="0"/>
              <w:spacing w:before="0" w:after="283"/>
              <w:jc w:val="left"/>
              <w:rPr>
                <w:sz w:val="20"/>
              </w:rPr>
            </w:pPr>
            <w:r>
              <w:rPr>
                <w:sz w:val="20"/>
              </w:rPr>
              <w:t>Guaranty of Payment</w:t>
            </w:r>
          </w:p>
        </w:tc>
        <w:tc>
          <w:tcPr>
            <w:tcW w:w="606" w:type="dxa"/>
            <w:tcBorders/>
            <w:vAlign w:val="center"/>
          </w:tcPr>
          <w:p>
            <w:pPr>
              <w:pStyle w:val="TableContents"/>
              <w:bidi w:val="0"/>
              <w:spacing w:before="0" w:after="283"/>
              <w:jc w:val="right"/>
              <w:rPr/>
            </w:pPr>
            <w:r>
              <w:rPr>
                <w:strike/>
                <w:color w:val="FF0000"/>
                <w:sz w:val="20"/>
              </w:rPr>
              <w:t>97</w:t>
            </w:r>
            <w:r>
              <w:rPr>
                <w:color w:val="0000FF"/>
                <w:u w:val="single"/>
              </w:rPr>
              <w:t>131</w:t>
            </w:r>
          </w:p>
        </w:tc>
      </w:tr>
      <w:tr>
        <w:trPr/>
        <w:tc>
          <w:tcPr>
            <w:tcW w:w="681" w:type="dxa"/>
            <w:tcBorders/>
            <w:vAlign w:val="center"/>
          </w:tcPr>
          <w:p>
            <w:pPr>
              <w:pStyle w:val="TableContents"/>
              <w:bidi w:val="0"/>
              <w:spacing w:before="0" w:after="283"/>
              <w:jc w:val="left"/>
              <w:rPr>
                <w:sz w:val="20"/>
              </w:rPr>
            </w:pPr>
            <w:r>
              <w:rPr>
                <w:sz w:val="20"/>
              </w:rPr>
              <w:t>16.3</w:t>
            </w:r>
          </w:p>
        </w:tc>
        <w:tc>
          <w:tcPr>
            <w:tcW w:w="8918" w:type="dxa"/>
            <w:tcBorders/>
            <w:vAlign w:val="center"/>
          </w:tcPr>
          <w:p>
            <w:pPr>
              <w:pStyle w:val="TableContents"/>
              <w:bidi w:val="0"/>
              <w:spacing w:before="0" w:after="283"/>
              <w:jc w:val="left"/>
              <w:rPr>
                <w:sz w:val="20"/>
              </w:rPr>
            </w:pPr>
            <w:r>
              <w:rPr>
                <w:sz w:val="20"/>
              </w:rPr>
              <w:t>No Discharge or Diminishment of Loan Guaranty</w:t>
            </w:r>
          </w:p>
        </w:tc>
        <w:tc>
          <w:tcPr>
            <w:tcW w:w="606" w:type="dxa"/>
            <w:tcBorders/>
            <w:vAlign w:val="center"/>
          </w:tcPr>
          <w:p>
            <w:pPr>
              <w:pStyle w:val="TableContents"/>
              <w:bidi w:val="0"/>
              <w:spacing w:before="0" w:after="283"/>
              <w:jc w:val="right"/>
              <w:rPr/>
            </w:pPr>
            <w:r>
              <w:rPr>
                <w:strike/>
                <w:color w:val="FF0000"/>
                <w:sz w:val="20"/>
              </w:rPr>
              <w:t>97</w:t>
            </w:r>
            <w:r>
              <w:rPr>
                <w:color w:val="0000FF"/>
                <w:u w:val="single"/>
              </w:rPr>
              <w:t>131</w:t>
            </w:r>
          </w:p>
        </w:tc>
      </w:tr>
      <w:tr>
        <w:trPr/>
        <w:tc>
          <w:tcPr>
            <w:tcW w:w="681" w:type="dxa"/>
            <w:tcBorders/>
            <w:vAlign w:val="center"/>
          </w:tcPr>
          <w:p>
            <w:pPr>
              <w:pStyle w:val="TableContents"/>
              <w:bidi w:val="0"/>
              <w:spacing w:before="0" w:after="283"/>
              <w:jc w:val="left"/>
              <w:rPr>
                <w:sz w:val="20"/>
              </w:rPr>
            </w:pPr>
            <w:r>
              <w:rPr>
                <w:sz w:val="20"/>
              </w:rPr>
              <w:t>16.4</w:t>
            </w:r>
          </w:p>
        </w:tc>
        <w:tc>
          <w:tcPr>
            <w:tcW w:w="8918" w:type="dxa"/>
            <w:tcBorders/>
            <w:vAlign w:val="center"/>
          </w:tcPr>
          <w:p>
            <w:pPr>
              <w:pStyle w:val="TableContents"/>
              <w:bidi w:val="0"/>
              <w:spacing w:before="0" w:after="283"/>
              <w:jc w:val="left"/>
              <w:rPr>
                <w:sz w:val="20"/>
              </w:rPr>
            </w:pPr>
            <w:r>
              <w:rPr>
                <w:sz w:val="20"/>
              </w:rPr>
              <w:t>Defenses Waived</w:t>
            </w:r>
          </w:p>
        </w:tc>
        <w:tc>
          <w:tcPr>
            <w:tcW w:w="606" w:type="dxa"/>
            <w:tcBorders/>
            <w:vAlign w:val="center"/>
          </w:tcPr>
          <w:p>
            <w:pPr>
              <w:pStyle w:val="TableContents"/>
              <w:bidi w:val="0"/>
              <w:spacing w:before="0" w:after="283"/>
              <w:jc w:val="right"/>
              <w:rPr/>
            </w:pPr>
            <w:r>
              <w:rPr>
                <w:strike/>
                <w:color w:val="FF0000"/>
                <w:sz w:val="20"/>
              </w:rPr>
              <w:t>98</w:t>
            </w:r>
            <w:r>
              <w:rPr>
                <w:color w:val="0000FF"/>
                <w:u w:val="single"/>
              </w:rPr>
              <w:t>131</w:t>
            </w:r>
          </w:p>
        </w:tc>
      </w:tr>
      <w:tr>
        <w:trPr/>
        <w:tc>
          <w:tcPr>
            <w:tcW w:w="681" w:type="dxa"/>
            <w:tcBorders/>
            <w:vAlign w:val="center"/>
          </w:tcPr>
          <w:p>
            <w:pPr>
              <w:pStyle w:val="TableContents"/>
              <w:bidi w:val="0"/>
              <w:spacing w:before="0" w:after="283"/>
              <w:jc w:val="left"/>
              <w:rPr>
                <w:sz w:val="20"/>
              </w:rPr>
            </w:pPr>
            <w:r>
              <w:rPr>
                <w:sz w:val="20"/>
              </w:rPr>
              <w:t>16.5</w:t>
            </w:r>
          </w:p>
        </w:tc>
        <w:tc>
          <w:tcPr>
            <w:tcW w:w="8918" w:type="dxa"/>
            <w:tcBorders/>
            <w:vAlign w:val="center"/>
          </w:tcPr>
          <w:p>
            <w:pPr>
              <w:pStyle w:val="TableContents"/>
              <w:bidi w:val="0"/>
              <w:spacing w:before="0" w:after="283"/>
              <w:jc w:val="left"/>
              <w:rPr>
                <w:sz w:val="20"/>
              </w:rPr>
            </w:pPr>
            <w:r>
              <w:rPr>
                <w:sz w:val="20"/>
              </w:rPr>
              <w:t>Rights of Subrogation</w:t>
            </w:r>
          </w:p>
        </w:tc>
        <w:tc>
          <w:tcPr>
            <w:tcW w:w="606" w:type="dxa"/>
            <w:tcBorders/>
            <w:vAlign w:val="center"/>
          </w:tcPr>
          <w:p>
            <w:pPr>
              <w:pStyle w:val="TableContents"/>
              <w:bidi w:val="0"/>
              <w:spacing w:before="0" w:after="283"/>
              <w:jc w:val="right"/>
              <w:rPr/>
            </w:pPr>
            <w:r>
              <w:rPr>
                <w:strike/>
                <w:color w:val="FF0000"/>
                <w:sz w:val="20"/>
              </w:rPr>
              <w:t>99</w:t>
            </w:r>
            <w:r>
              <w:rPr>
                <w:color w:val="0000FF"/>
                <w:u w:val="single"/>
              </w:rPr>
              <w:t>132</w:t>
            </w:r>
          </w:p>
        </w:tc>
      </w:tr>
      <w:tr>
        <w:trPr/>
        <w:tc>
          <w:tcPr>
            <w:tcW w:w="681" w:type="dxa"/>
            <w:tcBorders/>
            <w:vAlign w:val="center"/>
          </w:tcPr>
          <w:p>
            <w:pPr>
              <w:pStyle w:val="TableContents"/>
              <w:bidi w:val="0"/>
              <w:spacing w:before="0" w:after="283"/>
              <w:jc w:val="left"/>
              <w:rPr>
                <w:sz w:val="20"/>
              </w:rPr>
            </w:pPr>
            <w:r>
              <w:rPr>
                <w:sz w:val="20"/>
              </w:rPr>
              <w:t>16.6</w:t>
            </w:r>
          </w:p>
        </w:tc>
        <w:tc>
          <w:tcPr>
            <w:tcW w:w="8918" w:type="dxa"/>
            <w:tcBorders/>
            <w:vAlign w:val="center"/>
          </w:tcPr>
          <w:p>
            <w:pPr>
              <w:pStyle w:val="TableContents"/>
              <w:bidi w:val="0"/>
              <w:spacing w:before="0" w:after="283"/>
              <w:jc w:val="left"/>
              <w:rPr>
                <w:sz w:val="20"/>
              </w:rPr>
            </w:pPr>
            <w:r>
              <w:rPr>
                <w:sz w:val="20"/>
              </w:rPr>
              <w:t>Reinstatement; Stay of Acceleration</w:t>
            </w:r>
          </w:p>
        </w:tc>
        <w:tc>
          <w:tcPr>
            <w:tcW w:w="606" w:type="dxa"/>
            <w:tcBorders/>
            <w:vAlign w:val="center"/>
          </w:tcPr>
          <w:p>
            <w:pPr>
              <w:pStyle w:val="TableContents"/>
              <w:bidi w:val="0"/>
              <w:spacing w:before="0" w:after="283"/>
              <w:jc w:val="right"/>
              <w:rPr/>
            </w:pPr>
            <w:r>
              <w:rPr>
                <w:strike/>
                <w:color w:val="FF0000"/>
                <w:sz w:val="20"/>
              </w:rPr>
              <w:t>99</w:t>
            </w:r>
            <w:r>
              <w:rPr>
                <w:color w:val="0000FF"/>
                <w:u w:val="single"/>
              </w:rPr>
              <w:t>132</w:t>
            </w:r>
          </w:p>
        </w:tc>
      </w:tr>
      <w:tr>
        <w:trPr/>
        <w:tc>
          <w:tcPr>
            <w:tcW w:w="681" w:type="dxa"/>
            <w:tcBorders/>
            <w:vAlign w:val="center"/>
          </w:tcPr>
          <w:p>
            <w:pPr>
              <w:pStyle w:val="TableContents"/>
              <w:bidi w:val="0"/>
              <w:spacing w:before="0" w:after="283"/>
              <w:jc w:val="left"/>
              <w:rPr>
                <w:sz w:val="20"/>
              </w:rPr>
            </w:pPr>
            <w:r>
              <w:rPr>
                <w:sz w:val="20"/>
              </w:rPr>
              <w:t>16.7</w:t>
            </w:r>
          </w:p>
        </w:tc>
        <w:tc>
          <w:tcPr>
            <w:tcW w:w="8918" w:type="dxa"/>
            <w:tcBorders/>
            <w:vAlign w:val="center"/>
          </w:tcPr>
          <w:p>
            <w:pPr>
              <w:pStyle w:val="TableContents"/>
              <w:bidi w:val="0"/>
              <w:spacing w:before="0" w:after="283"/>
              <w:jc w:val="left"/>
              <w:rPr>
                <w:sz w:val="20"/>
              </w:rPr>
            </w:pPr>
            <w:r>
              <w:rPr>
                <w:sz w:val="20"/>
              </w:rPr>
              <w:t>Information</w:t>
            </w:r>
          </w:p>
        </w:tc>
        <w:tc>
          <w:tcPr>
            <w:tcW w:w="606" w:type="dxa"/>
            <w:tcBorders/>
            <w:vAlign w:val="center"/>
          </w:tcPr>
          <w:p>
            <w:pPr>
              <w:pStyle w:val="TableContents"/>
              <w:bidi w:val="0"/>
              <w:spacing w:before="0" w:after="283"/>
              <w:jc w:val="right"/>
              <w:rPr/>
            </w:pPr>
            <w:r>
              <w:rPr>
                <w:strike/>
                <w:color w:val="FF0000"/>
                <w:sz w:val="20"/>
              </w:rPr>
              <w:t>99</w:t>
            </w:r>
            <w:r>
              <w:rPr>
                <w:color w:val="0000FF"/>
                <w:u w:val="single"/>
              </w:rPr>
              <w:t>132</w:t>
            </w:r>
          </w:p>
        </w:tc>
      </w:tr>
      <w:tr>
        <w:trPr/>
        <w:tc>
          <w:tcPr>
            <w:tcW w:w="681" w:type="dxa"/>
            <w:tcBorders/>
            <w:vAlign w:val="center"/>
          </w:tcPr>
          <w:p>
            <w:pPr>
              <w:pStyle w:val="TableContents"/>
              <w:bidi w:val="0"/>
              <w:spacing w:before="0" w:after="283"/>
              <w:jc w:val="left"/>
              <w:rPr>
                <w:sz w:val="20"/>
              </w:rPr>
            </w:pPr>
            <w:r>
              <w:rPr>
                <w:sz w:val="20"/>
              </w:rPr>
              <w:t>16.8</w:t>
            </w:r>
          </w:p>
        </w:tc>
        <w:tc>
          <w:tcPr>
            <w:tcW w:w="8918" w:type="dxa"/>
            <w:tcBorders/>
            <w:vAlign w:val="center"/>
          </w:tcPr>
          <w:p>
            <w:pPr>
              <w:pStyle w:val="TableContents"/>
              <w:bidi w:val="0"/>
              <w:spacing w:before="0" w:after="283"/>
              <w:jc w:val="left"/>
              <w:rPr>
                <w:sz w:val="20"/>
              </w:rPr>
            </w:pPr>
            <w:r>
              <w:rPr>
                <w:sz w:val="20"/>
              </w:rPr>
              <w:t>Termination</w:t>
            </w:r>
          </w:p>
        </w:tc>
        <w:tc>
          <w:tcPr>
            <w:tcW w:w="606" w:type="dxa"/>
            <w:tcBorders/>
            <w:vAlign w:val="center"/>
          </w:tcPr>
          <w:p>
            <w:pPr>
              <w:pStyle w:val="TableContents"/>
              <w:bidi w:val="0"/>
              <w:spacing w:before="0" w:after="283"/>
              <w:jc w:val="right"/>
              <w:rPr/>
            </w:pPr>
            <w:r>
              <w:rPr>
                <w:strike/>
                <w:color w:val="FF0000"/>
                <w:sz w:val="20"/>
              </w:rPr>
              <w:t>99</w:t>
            </w:r>
            <w:r>
              <w:rPr>
                <w:color w:val="0000FF"/>
                <w:u w:val="single"/>
              </w:rPr>
              <w:t>132</w:t>
            </w:r>
          </w:p>
        </w:tc>
      </w:tr>
      <w:tr>
        <w:trPr/>
        <w:tc>
          <w:tcPr>
            <w:tcW w:w="681" w:type="dxa"/>
            <w:tcBorders/>
            <w:vAlign w:val="center"/>
          </w:tcPr>
          <w:p>
            <w:pPr>
              <w:pStyle w:val="TableContents"/>
              <w:bidi w:val="0"/>
              <w:spacing w:before="0" w:after="283"/>
              <w:jc w:val="left"/>
              <w:rPr>
                <w:sz w:val="20"/>
              </w:rPr>
            </w:pPr>
            <w:r>
              <w:rPr>
                <w:sz w:val="20"/>
              </w:rPr>
              <w:t>16.9</w:t>
            </w:r>
          </w:p>
        </w:tc>
        <w:tc>
          <w:tcPr>
            <w:tcW w:w="8918" w:type="dxa"/>
            <w:tcBorders/>
            <w:vAlign w:val="center"/>
          </w:tcPr>
          <w:p>
            <w:pPr>
              <w:pStyle w:val="TableContents"/>
              <w:bidi w:val="0"/>
              <w:spacing w:before="0" w:after="283"/>
              <w:jc w:val="left"/>
              <w:rPr>
                <w:sz w:val="20"/>
              </w:rPr>
            </w:pPr>
            <w:r>
              <w:rPr>
                <w:sz w:val="20"/>
              </w:rPr>
              <w:t>Taxes</w:t>
            </w:r>
          </w:p>
        </w:tc>
        <w:tc>
          <w:tcPr>
            <w:tcW w:w="606" w:type="dxa"/>
            <w:tcBorders/>
            <w:vAlign w:val="center"/>
          </w:tcPr>
          <w:p>
            <w:pPr>
              <w:pStyle w:val="TableContents"/>
              <w:bidi w:val="0"/>
              <w:spacing w:before="0" w:after="283"/>
              <w:jc w:val="right"/>
              <w:rPr/>
            </w:pPr>
            <w:r>
              <w:rPr>
                <w:strike/>
                <w:color w:val="FF0000"/>
                <w:sz w:val="20"/>
              </w:rPr>
              <w:t>99</w:t>
            </w:r>
            <w:r>
              <w:rPr>
                <w:color w:val="0000FF"/>
                <w:u w:val="single"/>
              </w:rPr>
              <w:t>132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99" w:type="dxa"/>
        <w:jc w:val="left"/>
        <w:tblInd w:w="0" w:type="dxa"/>
        <w:tblLayout w:type="fixed"/>
        <w:tblCellMar>
          <w:top w:w="0" w:type="dxa"/>
          <w:left w:w="0" w:type="dxa"/>
          <w:bottom w:w="0" w:type="dxa"/>
          <w:right w:w="0" w:type="dxa"/>
        </w:tblCellMar>
      </w:tblPr>
      <w:tblGrid>
        <w:gridCol w:w="999"/>
        <w:gridCol w:w="3490"/>
        <w:gridCol w:w="710"/>
      </w:tblGrid>
      <w:tr>
        <w:trPr/>
        <w:tc>
          <w:tcPr>
            <w:tcW w:w="999" w:type="dxa"/>
            <w:tcBorders/>
            <w:vAlign w:val="center"/>
          </w:tcPr>
          <w:p>
            <w:pPr>
              <w:pStyle w:val="TableContents"/>
              <w:bidi w:val="0"/>
              <w:spacing w:before="0" w:after="283"/>
              <w:jc w:val="left"/>
              <w:rPr>
                <w:sz w:val="20"/>
              </w:rPr>
            </w:pPr>
            <w:r>
              <w:rPr>
                <w:sz w:val="20"/>
              </w:rPr>
              <w:t>16.10</w:t>
            </w:r>
          </w:p>
        </w:tc>
        <w:tc>
          <w:tcPr>
            <w:tcW w:w="3490" w:type="dxa"/>
            <w:tcBorders/>
            <w:vAlign w:val="center"/>
          </w:tcPr>
          <w:p>
            <w:pPr>
              <w:pStyle w:val="TableContents"/>
              <w:bidi w:val="0"/>
              <w:spacing w:before="0" w:after="283"/>
              <w:jc w:val="left"/>
              <w:rPr>
                <w:sz w:val="20"/>
              </w:rPr>
            </w:pPr>
            <w:r>
              <w:rPr>
                <w:sz w:val="20"/>
              </w:rPr>
              <w:t>Maximum Liability</w:t>
            </w:r>
          </w:p>
        </w:tc>
        <w:tc>
          <w:tcPr>
            <w:tcW w:w="710" w:type="dxa"/>
            <w:tcBorders/>
            <w:vAlign w:val="center"/>
          </w:tcPr>
          <w:p>
            <w:pPr>
              <w:pStyle w:val="TableContents"/>
              <w:bidi w:val="0"/>
              <w:spacing w:before="0" w:after="283"/>
              <w:jc w:val="right"/>
              <w:rPr/>
            </w:pPr>
            <w:r>
              <w:rPr>
                <w:strike/>
                <w:color w:val="FF0000"/>
                <w:sz w:val="20"/>
              </w:rPr>
              <w:t>99</w:t>
            </w:r>
            <w:r>
              <w:rPr>
                <w:color w:val="0000FF"/>
                <w:u w:val="single"/>
              </w:rPr>
              <w:t>132</w:t>
            </w:r>
          </w:p>
        </w:tc>
      </w:tr>
      <w:tr>
        <w:trPr/>
        <w:tc>
          <w:tcPr>
            <w:tcW w:w="999" w:type="dxa"/>
            <w:tcBorders/>
            <w:vAlign w:val="center"/>
          </w:tcPr>
          <w:p>
            <w:pPr>
              <w:pStyle w:val="TableContents"/>
              <w:bidi w:val="0"/>
              <w:spacing w:before="0" w:after="283"/>
              <w:jc w:val="left"/>
              <w:rPr>
                <w:sz w:val="20"/>
              </w:rPr>
            </w:pPr>
            <w:r>
              <w:rPr>
                <w:sz w:val="20"/>
              </w:rPr>
              <w:t>16.11</w:t>
            </w:r>
          </w:p>
        </w:tc>
        <w:tc>
          <w:tcPr>
            <w:tcW w:w="3490" w:type="dxa"/>
            <w:tcBorders/>
            <w:vAlign w:val="center"/>
          </w:tcPr>
          <w:p>
            <w:pPr>
              <w:pStyle w:val="TableContents"/>
              <w:bidi w:val="0"/>
              <w:spacing w:before="0" w:after="283"/>
              <w:jc w:val="left"/>
              <w:rPr>
                <w:sz w:val="20"/>
              </w:rPr>
            </w:pPr>
            <w:r>
              <w:rPr>
                <w:sz w:val="20"/>
              </w:rPr>
              <w:t>Contribution</w:t>
            </w:r>
          </w:p>
        </w:tc>
        <w:tc>
          <w:tcPr>
            <w:tcW w:w="710" w:type="dxa"/>
            <w:tcBorders/>
            <w:vAlign w:val="center"/>
          </w:tcPr>
          <w:p>
            <w:pPr>
              <w:pStyle w:val="TableContents"/>
              <w:bidi w:val="0"/>
              <w:spacing w:before="0" w:after="283"/>
              <w:jc w:val="right"/>
              <w:rPr/>
            </w:pPr>
            <w:r>
              <w:rPr>
                <w:strike/>
                <w:color w:val="FF0000"/>
                <w:sz w:val="20"/>
              </w:rPr>
              <w:t>100</w:t>
            </w:r>
            <w:r>
              <w:rPr>
                <w:color w:val="0000FF"/>
                <w:u w:val="single"/>
              </w:rPr>
              <w:t>133</w:t>
            </w:r>
          </w:p>
        </w:tc>
      </w:tr>
      <w:tr>
        <w:trPr/>
        <w:tc>
          <w:tcPr>
            <w:tcW w:w="999" w:type="dxa"/>
            <w:tcBorders/>
            <w:vAlign w:val="center"/>
          </w:tcPr>
          <w:p>
            <w:pPr>
              <w:pStyle w:val="TableContents"/>
              <w:bidi w:val="0"/>
              <w:spacing w:before="0" w:after="283"/>
              <w:jc w:val="left"/>
              <w:rPr>
                <w:sz w:val="20"/>
              </w:rPr>
            </w:pPr>
            <w:r>
              <w:rPr>
                <w:sz w:val="20"/>
              </w:rPr>
              <w:t>16.12</w:t>
            </w:r>
          </w:p>
        </w:tc>
        <w:tc>
          <w:tcPr>
            <w:tcW w:w="3490" w:type="dxa"/>
            <w:tcBorders/>
            <w:vAlign w:val="center"/>
          </w:tcPr>
          <w:p>
            <w:pPr>
              <w:pStyle w:val="TableContents"/>
              <w:bidi w:val="0"/>
              <w:spacing w:before="0" w:after="283"/>
              <w:jc w:val="left"/>
              <w:rPr>
                <w:sz w:val="20"/>
              </w:rPr>
            </w:pPr>
            <w:r>
              <w:rPr>
                <w:sz w:val="20"/>
              </w:rPr>
              <w:t>Liability Cumulative</w:t>
            </w:r>
          </w:p>
        </w:tc>
        <w:tc>
          <w:tcPr>
            <w:tcW w:w="710" w:type="dxa"/>
            <w:tcBorders/>
            <w:vAlign w:val="center"/>
          </w:tcPr>
          <w:p>
            <w:pPr>
              <w:pStyle w:val="TableContents"/>
              <w:bidi w:val="0"/>
              <w:spacing w:before="0" w:after="283"/>
              <w:jc w:val="right"/>
              <w:rPr/>
            </w:pPr>
            <w:r>
              <w:rPr>
                <w:strike/>
                <w:color w:val="FF0000"/>
                <w:sz w:val="20"/>
              </w:rPr>
              <w:t>100</w:t>
            </w:r>
            <w:r>
              <w:rPr>
                <w:color w:val="0000FF"/>
                <w:u w:val="single"/>
              </w:rPr>
              <w:t>133</w:t>
            </w:r>
          </w:p>
        </w:tc>
      </w:tr>
      <w:tr>
        <w:trPr/>
        <w:tc>
          <w:tcPr>
            <w:tcW w:w="999" w:type="dxa"/>
            <w:tcBorders/>
            <w:vAlign w:val="center"/>
          </w:tcPr>
          <w:p>
            <w:pPr>
              <w:pStyle w:val="TableContents"/>
              <w:bidi w:val="0"/>
              <w:spacing w:before="0" w:after="283"/>
              <w:jc w:val="left"/>
              <w:rPr>
                <w:sz w:val="20"/>
              </w:rPr>
            </w:pPr>
            <w:r>
              <w:rPr>
                <w:sz w:val="20"/>
              </w:rPr>
              <w:t>16.13</w:t>
            </w:r>
          </w:p>
        </w:tc>
        <w:tc>
          <w:tcPr>
            <w:tcW w:w="3490" w:type="dxa"/>
            <w:tcBorders/>
            <w:vAlign w:val="center"/>
          </w:tcPr>
          <w:p>
            <w:pPr>
              <w:pStyle w:val="TableContents"/>
              <w:bidi w:val="0"/>
              <w:spacing w:before="0" w:after="283"/>
              <w:jc w:val="left"/>
              <w:rPr>
                <w:sz w:val="20"/>
              </w:rPr>
            </w:pPr>
            <w:r>
              <w:rPr>
                <w:sz w:val="20"/>
              </w:rPr>
              <w:t>Keepwell</w:t>
            </w:r>
          </w:p>
        </w:tc>
        <w:tc>
          <w:tcPr>
            <w:tcW w:w="710" w:type="dxa"/>
            <w:tcBorders/>
            <w:vAlign w:val="center"/>
          </w:tcPr>
          <w:p>
            <w:pPr>
              <w:pStyle w:val="TableContents"/>
              <w:bidi w:val="0"/>
              <w:spacing w:before="0" w:after="283"/>
              <w:jc w:val="right"/>
              <w:rPr/>
            </w:pPr>
            <w:r>
              <w:rPr>
                <w:strike/>
                <w:color w:val="FF0000"/>
                <w:sz w:val="20"/>
              </w:rPr>
              <w:t>100</w:t>
            </w:r>
            <w:r>
              <w:rPr>
                <w:color w:val="0000FF"/>
                <w:u w:val="single"/>
              </w:rPr>
              <w:t>133</w:t>
            </w:r>
          </w:p>
        </w:tc>
      </w:tr>
      <w:tr>
        <w:trPr/>
        <w:tc>
          <w:tcPr>
            <w:tcW w:w="999" w:type="dxa"/>
            <w:tcBorders/>
            <w:vAlign w:val="center"/>
          </w:tcPr>
          <w:p>
            <w:pPr>
              <w:pStyle w:val="TableContents"/>
              <w:bidi w:val="0"/>
              <w:spacing w:before="0" w:after="283"/>
              <w:jc w:val="left"/>
              <w:rPr>
                <w:sz w:val="20"/>
              </w:rPr>
            </w:pPr>
            <w:r>
              <w:rPr>
                <w:sz w:val="20"/>
              </w:rPr>
              <w:t>16.14</w:t>
            </w:r>
          </w:p>
        </w:tc>
        <w:tc>
          <w:tcPr>
            <w:tcW w:w="3490" w:type="dxa"/>
            <w:tcBorders/>
            <w:vAlign w:val="center"/>
          </w:tcPr>
          <w:p>
            <w:pPr>
              <w:pStyle w:val="TableContents"/>
              <w:bidi w:val="0"/>
              <w:spacing w:before="0" w:after="283"/>
              <w:jc w:val="left"/>
              <w:rPr>
                <w:sz w:val="20"/>
              </w:rPr>
            </w:pPr>
            <w:r>
              <w:rPr>
                <w:sz w:val="20"/>
              </w:rPr>
              <w:t>Entire Agreement</w:t>
            </w:r>
          </w:p>
        </w:tc>
        <w:tc>
          <w:tcPr>
            <w:tcW w:w="710" w:type="dxa"/>
            <w:tcBorders/>
            <w:vAlign w:val="center"/>
          </w:tcPr>
          <w:p>
            <w:pPr>
              <w:pStyle w:val="TableContents"/>
              <w:bidi w:val="0"/>
              <w:spacing w:before="0" w:after="283"/>
              <w:jc w:val="right"/>
              <w:rPr/>
            </w:pPr>
            <w:r>
              <w:rPr>
                <w:strike/>
                <w:color w:val="FF0000"/>
                <w:sz w:val="20"/>
              </w:rPr>
              <w:t>101</w:t>
            </w:r>
            <w:r>
              <w:rPr>
                <w:color w:val="0000FF"/>
                <w:u w:val="single"/>
              </w:rPr>
              <w:t>134</w:t>
            </w:r>
          </w:p>
        </w:tc>
      </w:tr>
      <w:tr>
        <w:trPr/>
        <w:tc>
          <w:tcPr>
            <w:tcW w:w="999" w:type="dxa"/>
            <w:tcBorders/>
            <w:vAlign w:val="center"/>
          </w:tcPr>
          <w:p>
            <w:pPr>
              <w:pStyle w:val="TableContents"/>
              <w:bidi w:val="0"/>
              <w:spacing w:before="0" w:after="283"/>
              <w:jc w:val="left"/>
              <w:rPr>
                <w:sz w:val="20"/>
              </w:rPr>
            </w:pPr>
            <w:r>
              <w:rPr>
                <w:sz w:val="20"/>
              </w:rPr>
              <w:t>16.15</w:t>
            </w:r>
          </w:p>
        </w:tc>
        <w:tc>
          <w:tcPr>
            <w:tcW w:w="3490" w:type="dxa"/>
            <w:tcBorders/>
            <w:vAlign w:val="center"/>
          </w:tcPr>
          <w:p>
            <w:pPr>
              <w:pStyle w:val="TableContents"/>
              <w:bidi w:val="0"/>
              <w:spacing w:before="0" w:after="283"/>
              <w:jc w:val="left"/>
              <w:rPr>
                <w:sz w:val="20"/>
              </w:rPr>
            </w:pPr>
            <w:r>
              <w:rPr>
                <w:sz w:val="20"/>
              </w:rPr>
              <w:t>Texas Pawnshop Act</w:t>
            </w:r>
          </w:p>
        </w:tc>
        <w:tc>
          <w:tcPr>
            <w:tcW w:w="710" w:type="dxa"/>
            <w:tcBorders/>
            <w:vAlign w:val="center"/>
          </w:tcPr>
          <w:p>
            <w:pPr>
              <w:pStyle w:val="TableContents"/>
              <w:bidi w:val="0"/>
              <w:spacing w:before="0" w:after="283"/>
              <w:jc w:val="right"/>
              <w:rPr/>
            </w:pPr>
            <w:r>
              <w:rPr>
                <w:strike/>
                <w:color w:val="FF0000"/>
                <w:sz w:val="20"/>
              </w:rPr>
              <w:t>101</w:t>
            </w:r>
            <w:r>
              <w:rPr>
                <w:color w:val="0000FF"/>
                <w:u w:val="single"/>
              </w:rPr>
              <w:t>134</w:t>
            </w:r>
          </w:p>
        </w:tc>
      </w:tr>
      <w:tr>
        <w:trPr/>
        <w:tc>
          <w:tcPr>
            <w:tcW w:w="999" w:type="dxa"/>
            <w:tcBorders/>
            <w:vAlign w:val="center"/>
          </w:tcPr>
          <w:p>
            <w:pPr>
              <w:pStyle w:val="TableContents"/>
              <w:bidi w:val="0"/>
              <w:spacing w:before="0" w:after="283"/>
              <w:jc w:val="left"/>
              <w:rPr/>
            </w:pPr>
            <w:r>
              <w:rPr/>
              <w:t> </w:t>
            </w:r>
          </w:p>
        </w:tc>
        <w:tc>
          <w:tcPr>
            <w:tcW w:w="34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4489" w:type="dxa"/>
            <w:gridSpan w:val="2"/>
            <w:tcBorders/>
            <w:vAlign w:val="center"/>
          </w:tcPr>
          <w:p>
            <w:pPr>
              <w:pStyle w:val="TableContents"/>
              <w:bidi w:val="0"/>
              <w:spacing w:before="0" w:after="283"/>
              <w:jc w:val="left"/>
              <w:rPr>
                <w:b/>
                <w:caps/>
                <w:sz w:val="20"/>
              </w:rPr>
            </w:pPr>
            <w:r>
              <w:rPr>
                <w:b/>
                <w:caps/>
                <w:sz w:val="20"/>
              </w:rPr>
              <w:t>Article XVII. STATUTE OF FRAUDS NOTICE</w:t>
            </w:r>
          </w:p>
        </w:tc>
        <w:tc>
          <w:tcPr>
            <w:tcW w:w="710" w:type="dxa"/>
            <w:tcBorders/>
            <w:vAlign w:val="center"/>
          </w:tcPr>
          <w:p>
            <w:pPr>
              <w:pStyle w:val="TableContents"/>
              <w:bidi w:val="0"/>
              <w:spacing w:before="0" w:after="283"/>
              <w:jc w:val="right"/>
              <w:rPr/>
            </w:pPr>
            <w:r>
              <w:rPr>
                <w:b/>
                <w:caps/>
                <w:strike/>
                <w:color w:val="FF0000"/>
                <w:sz w:val="20"/>
              </w:rPr>
              <w:t>101</w:t>
            </w:r>
            <w:r>
              <w:rPr>
                <w:b/>
                <w:color w:val="0000FF"/>
                <w:u w:val="single"/>
              </w:rPr>
              <w:t>134</w:t>
            </w:r>
          </w:p>
        </w:tc>
      </w:tr>
      <w:tr>
        <w:trPr/>
        <w:tc>
          <w:tcPr>
            <w:tcW w:w="4489" w:type="dxa"/>
            <w:gridSpan w:val="2"/>
            <w:tcBorders/>
            <w:vAlign w:val="center"/>
          </w:tcPr>
          <w:p>
            <w:pPr>
              <w:pStyle w:val="TableContents"/>
              <w:bidi w:val="0"/>
              <w:spacing w:before="0" w:after="283"/>
              <w:jc w:val="left"/>
              <w:rPr>
                <w:b/>
                <w:sz w:val="20"/>
              </w:rPr>
            </w:pPr>
            <w:r>
              <w:rPr>
                <w:b/>
                <w:sz w:val="20"/>
              </w:rPr>
              <w:t>ENTIRE AGREEMENT – SECTION 26.02 NOTICE</w:t>
            </w:r>
          </w:p>
        </w:tc>
        <w:tc>
          <w:tcPr>
            <w:tcW w:w="710" w:type="dxa"/>
            <w:tcBorders/>
            <w:vAlign w:val="center"/>
          </w:tcPr>
          <w:p>
            <w:pPr>
              <w:pStyle w:val="TableContents"/>
              <w:bidi w:val="0"/>
              <w:spacing w:before="0" w:after="283"/>
              <w:jc w:val="right"/>
              <w:rPr/>
            </w:pPr>
            <w:r>
              <w:rPr>
                <w:strike/>
                <w:color w:val="FF0000"/>
                <w:sz w:val="20"/>
              </w:rPr>
              <w:t>101</w:t>
            </w:r>
            <w:r>
              <w:rPr>
                <w:color w:val="0000FF"/>
                <w:u w:val="single"/>
              </w:rPr>
              <w:t>134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SCHEDULES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0000FF"/>
          <w:sz w:val="20"/>
          <w:u w:val="single"/>
        </w:rPr>
        <w:t>AND</w:t>
      </w:r>
      <w:r>
        <w:rPr>
          <w:rFonts w:ascii="Times New Roman;Times;Serif" w:hAnsi="Times New Roman;Times;Serif"/>
          <w:b/>
          <w:i w:val="false"/>
          <w:caps w:val="false"/>
          <w:smallCaps w:val="false"/>
          <w:sz w:val="20"/>
        </w:rPr>
        <w:t xml:space="preserve"> EXHIBITS</w:t>
      </w:r>
      <w:r>
        <w:rPr>
          <w:rFonts w:ascii="Times New Roman;Times;Serif" w:hAnsi="Times New Roman;Times;Serif"/>
          <w:b/>
          <w:i w:val="false"/>
          <w:caps w:val="false"/>
          <w:smallCaps w:val="false"/>
          <w:strike/>
          <w:color w:val="FF0000"/>
          <w:sz w:val="20"/>
        </w:rPr>
        <w:t>, AND APPENDIX</w:t>
      </w:r>
    </w:p>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010"/>
        <w:gridCol w:w="80"/>
        <w:gridCol w:w="3065"/>
      </w:tblGrid>
      <w:tr>
        <w:trPr/>
        <w:tc>
          <w:tcPr>
            <w:tcW w:w="1010" w:type="dxa"/>
            <w:tcBorders/>
            <w:vAlign w:val="center"/>
          </w:tcPr>
          <w:p>
            <w:pPr>
              <w:pStyle w:val="TableContents"/>
              <w:bidi w:val="0"/>
              <w:spacing w:before="0" w:after="283"/>
              <w:jc w:val="left"/>
              <w:rPr>
                <w:sz w:val="20"/>
              </w:rPr>
            </w:pPr>
            <w:r>
              <w:rPr>
                <w:sz w:val="20"/>
              </w:rPr>
              <w:t>Exhibit “A”</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Form of Compliance Certificate</w:t>
            </w:r>
          </w:p>
        </w:tc>
      </w:tr>
      <w:tr>
        <w:trPr/>
        <w:tc>
          <w:tcPr>
            <w:tcW w:w="1010" w:type="dxa"/>
            <w:tcBorders/>
            <w:vAlign w:val="center"/>
          </w:tcPr>
          <w:p>
            <w:pPr>
              <w:pStyle w:val="TableContents"/>
              <w:bidi w:val="0"/>
              <w:spacing w:before="0" w:after="283"/>
              <w:jc w:val="left"/>
              <w:rPr>
                <w:sz w:val="20"/>
              </w:rPr>
            </w:pPr>
            <w:r>
              <w:rPr>
                <w:sz w:val="20"/>
              </w:rPr>
              <w:t>Exhibit “B”</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Form of Joinder Agreement</w:t>
            </w:r>
          </w:p>
        </w:tc>
      </w:tr>
      <w:tr>
        <w:trPr/>
        <w:tc>
          <w:tcPr>
            <w:tcW w:w="1010" w:type="dxa"/>
            <w:tcBorders/>
            <w:vAlign w:val="center"/>
          </w:tcPr>
          <w:p>
            <w:pPr>
              <w:pStyle w:val="TableContents"/>
              <w:bidi w:val="0"/>
              <w:spacing w:before="0" w:after="283"/>
              <w:jc w:val="left"/>
              <w:rPr>
                <w:sz w:val="20"/>
              </w:rPr>
            </w:pPr>
            <w:r>
              <w:rPr>
                <w:sz w:val="20"/>
              </w:rPr>
              <w:t>Exhibit “C”</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Form of Assignment and Assumption</w:t>
            </w:r>
          </w:p>
        </w:tc>
      </w:tr>
      <w:tr>
        <w:trPr/>
        <w:tc>
          <w:tcPr>
            <w:tcW w:w="1010" w:type="dxa"/>
            <w:tcBorders/>
            <w:vAlign w:val="center"/>
          </w:tcPr>
          <w:p>
            <w:pPr>
              <w:pStyle w:val="TableContents"/>
              <w:bidi w:val="0"/>
              <w:spacing w:before="0" w:after="283"/>
              <w:jc w:val="left"/>
              <w:rPr>
                <w:sz w:val="20"/>
              </w:rPr>
            </w:pPr>
            <w:r>
              <w:rPr>
                <w:sz w:val="20"/>
              </w:rPr>
              <w:t>Exhibit “D”</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Form of Account Designation Letter</w:t>
            </w:r>
          </w:p>
        </w:tc>
      </w:tr>
      <w:tr>
        <w:trPr/>
        <w:tc>
          <w:tcPr>
            <w:tcW w:w="1010" w:type="dxa"/>
            <w:tcBorders/>
            <w:vAlign w:val="center"/>
          </w:tcPr>
          <w:p>
            <w:pPr>
              <w:pStyle w:val="TableContents"/>
              <w:bidi w:val="0"/>
              <w:spacing w:before="0" w:after="283"/>
              <w:jc w:val="left"/>
              <w:rPr>
                <w:sz w:val="20"/>
              </w:rPr>
            </w:pPr>
            <w:r>
              <w:rPr>
                <w:sz w:val="20"/>
              </w:rPr>
              <w:t>Exhibit “E”</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Form of Promissory Note</w:t>
            </w:r>
          </w:p>
        </w:tc>
      </w:tr>
      <w:tr>
        <w:trPr/>
        <w:tc>
          <w:tcPr>
            <w:tcW w:w="1010" w:type="dxa"/>
            <w:tcBorders/>
            <w:vAlign w:val="center"/>
          </w:tcPr>
          <w:p>
            <w:pPr>
              <w:pStyle w:val="TableContents"/>
              <w:bidi w:val="0"/>
              <w:spacing w:before="0" w:after="283"/>
              <w:jc w:val="left"/>
              <w:rPr>
                <w:sz w:val="20"/>
              </w:rPr>
            </w:pPr>
            <w:r>
              <w:rPr>
                <w:sz w:val="20"/>
              </w:rPr>
              <w:t>Exhibit “F”</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pPr>
            <w:r>
              <w:rPr>
                <w:strike/>
                <w:color w:val="FF0000"/>
                <w:sz w:val="20"/>
              </w:rPr>
              <w:t>Form</w:t>
            </w:r>
            <w:r>
              <w:rPr>
                <w:color w:val="0000FF"/>
                <w:u w:val="single"/>
              </w:rPr>
              <w:t>Forms</w:t>
            </w:r>
            <w:r>
              <w:rPr/>
              <w:t xml:space="preserve"> </w:t>
            </w:r>
            <w:r>
              <w:rPr>
                <w:sz w:val="20"/>
              </w:rPr>
              <w:t>of Borrowing Notice</w:t>
            </w:r>
          </w:p>
        </w:tc>
      </w:tr>
      <w:tr>
        <w:trPr/>
        <w:tc>
          <w:tcPr>
            <w:tcW w:w="10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065" w:type="dxa"/>
            <w:tcBorders/>
            <w:vAlign w:val="center"/>
          </w:tcPr>
          <w:p>
            <w:pPr>
              <w:pStyle w:val="TableContents"/>
              <w:bidi w:val="0"/>
              <w:spacing w:before="0" w:after="283"/>
              <w:jc w:val="left"/>
              <w:rPr>
                <w:color w:val="FF0000"/>
              </w:rPr>
            </w:pPr>
            <w:r>
              <w:rPr>
                <w:color w:val="FF0000"/>
              </w:rPr>
              <w:t> </w:t>
            </w:r>
          </w:p>
        </w:tc>
      </w:tr>
      <w:tr>
        <w:trPr/>
        <w:tc>
          <w:tcPr>
            <w:tcW w:w="1010" w:type="dxa"/>
            <w:tcBorders/>
            <w:vAlign w:val="center"/>
          </w:tcPr>
          <w:p>
            <w:pPr>
              <w:pStyle w:val="TableContents"/>
              <w:bidi w:val="0"/>
              <w:spacing w:before="0" w:after="283"/>
              <w:jc w:val="left"/>
              <w:rPr>
                <w:sz w:val="20"/>
              </w:rPr>
            </w:pPr>
            <w:r>
              <w:rPr>
                <w:sz w:val="20"/>
              </w:rPr>
              <w:t>Schedule 1</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Subsidiaries</w:t>
            </w:r>
          </w:p>
        </w:tc>
      </w:tr>
      <w:tr>
        <w:trPr/>
        <w:tc>
          <w:tcPr>
            <w:tcW w:w="1010" w:type="dxa"/>
            <w:tcBorders/>
            <w:vAlign w:val="center"/>
          </w:tcPr>
          <w:p>
            <w:pPr>
              <w:pStyle w:val="TableContents"/>
              <w:bidi w:val="0"/>
              <w:spacing w:before="0" w:after="283"/>
              <w:jc w:val="left"/>
              <w:rPr>
                <w:sz w:val="20"/>
              </w:rPr>
            </w:pPr>
            <w:r>
              <w:rPr>
                <w:sz w:val="20"/>
              </w:rPr>
              <w:t>Schedule 2</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Indebtedness and Liens</w:t>
            </w:r>
          </w:p>
        </w:tc>
      </w:tr>
      <w:tr>
        <w:trPr/>
        <w:tc>
          <w:tcPr>
            <w:tcW w:w="1010" w:type="dxa"/>
            <w:tcBorders/>
            <w:vAlign w:val="center"/>
          </w:tcPr>
          <w:p>
            <w:pPr>
              <w:pStyle w:val="TableContents"/>
              <w:bidi w:val="0"/>
              <w:spacing w:before="0" w:after="283"/>
              <w:jc w:val="left"/>
              <w:rPr>
                <w:sz w:val="20"/>
              </w:rPr>
            </w:pPr>
            <w:r>
              <w:rPr>
                <w:sz w:val="20"/>
              </w:rPr>
              <w:t>Schedule 3</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Commitments and Pro Rata Shares</w:t>
            </w:r>
          </w:p>
        </w:tc>
      </w:tr>
      <w:tr>
        <w:trPr/>
        <w:tc>
          <w:tcPr>
            <w:tcW w:w="1010" w:type="dxa"/>
            <w:tcBorders/>
            <w:vAlign w:val="center"/>
          </w:tcPr>
          <w:p>
            <w:pPr>
              <w:pStyle w:val="TableContents"/>
              <w:bidi w:val="0"/>
              <w:spacing w:before="0" w:after="283"/>
              <w:jc w:val="left"/>
              <w:rPr>
                <w:sz w:val="20"/>
              </w:rPr>
            </w:pPr>
            <w:r>
              <w:rPr>
                <w:sz w:val="20"/>
              </w:rPr>
              <w:t>Schedule 4</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Properties</w:t>
            </w:r>
          </w:p>
        </w:tc>
      </w:tr>
      <w:tr>
        <w:trPr/>
        <w:tc>
          <w:tcPr>
            <w:tcW w:w="1010" w:type="dxa"/>
            <w:tcBorders/>
            <w:vAlign w:val="center"/>
          </w:tcPr>
          <w:p>
            <w:pPr>
              <w:pStyle w:val="TableContents"/>
              <w:bidi w:val="0"/>
              <w:spacing w:before="0" w:after="283"/>
              <w:jc w:val="left"/>
              <w:rPr>
                <w:sz w:val="20"/>
              </w:rPr>
            </w:pPr>
            <w:r>
              <w:rPr>
                <w:sz w:val="20"/>
              </w:rPr>
              <w:t>Schedule 5</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Investments</w:t>
            </w:r>
          </w:p>
        </w:tc>
      </w:tr>
      <w:tr>
        <w:trPr/>
        <w:tc>
          <w:tcPr>
            <w:tcW w:w="1010" w:type="dxa"/>
            <w:tcBorders/>
            <w:vAlign w:val="center"/>
          </w:tcPr>
          <w:p>
            <w:pPr>
              <w:pStyle w:val="TableContents"/>
              <w:bidi w:val="0"/>
              <w:spacing w:before="0" w:after="283"/>
              <w:jc w:val="left"/>
              <w:rPr>
                <w:sz w:val="20"/>
              </w:rPr>
            </w:pPr>
            <w:r>
              <w:rPr>
                <w:sz w:val="20"/>
              </w:rPr>
              <w:t>Schedule 6</w:t>
            </w:r>
          </w:p>
        </w:tc>
        <w:tc>
          <w:tcPr>
            <w:tcW w:w="80" w:type="dxa"/>
            <w:tcBorders/>
            <w:vAlign w:val="center"/>
          </w:tcPr>
          <w:p>
            <w:pPr>
              <w:pStyle w:val="TableContents"/>
              <w:bidi w:val="0"/>
              <w:spacing w:before="0" w:after="283"/>
              <w:jc w:val="center"/>
              <w:rPr>
                <w:sz w:val="20"/>
              </w:rPr>
            </w:pPr>
            <w:r>
              <w:rPr>
                <w:sz w:val="20"/>
              </w:rPr>
              <w:t>-</w:t>
            </w:r>
          </w:p>
        </w:tc>
        <w:tc>
          <w:tcPr>
            <w:tcW w:w="3065" w:type="dxa"/>
            <w:tcBorders/>
            <w:vAlign w:val="center"/>
          </w:tcPr>
          <w:p>
            <w:pPr>
              <w:pStyle w:val="TableContents"/>
              <w:bidi w:val="0"/>
              <w:spacing w:before="0" w:after="283"/>
              <w:jc w:val="left"/>
              <w:rPr>
                <w:sz w:val="20"/>
              </w:rPr>
            </w:pPr>
            <w:r>
              <w:rPr>
                <w:sz w:val="20"/>
              </w:rPr>
              <w:t>Sales, transfers and other dispositions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Amended and Restated Credit Agreement, </w:t>
      </w:r>
      <w:r>
        <w:rPr>
          <w:rFonts w:ascii="Times New Roman;Times;Serif" w:hAnsi="Times New Roman;Times;Serif"/>
          <w:b w:val="false"/>
          <w:i w:val="false"/>
          <w:caps w:val="false"/>
          <w:smallCaps w:val="false"/>
          <w:color w:val="0000FF"/>
          <w:sz w:val="20"/>
          <w:u w:val="single"/>
        </w:rPr>
        <w:t xml:space="preserve">originally </w:t>
      </w:r>
      <w:r>
        <w:rPr>
          <w:rFonts w:ascii="Times New Roman;Times;Serif" w:hAnsi="Times New Roman;Times;Serif"/>
          <w:b w:val="false"/>
          <w:i w:val="false"/>
          <w:caps w:val="false"/>
          <w:smallCaps w:val="false"/>
          <w:sz w:val="20"/>
        </w:rPr>
        <w:t xml:space="preserve">dated as of July 25, 2016, is among FIRSTCASH, INC. </w:t>
      </w:r>
      <w:r>
        <w:rPr>
          <w:rFonts w:ascii="Times New Roman;Times;Serif" w:hAnsi="Times New Roman;Times;Serif"/>
          <w:b w:val="false"/>
          <w:i w:val="false"/>
          <w:caps w:val="false"/>
          <w:smallCaps w:val="false"/>
          <w:strike/>
          <w:color w:val="FF0000"/>
          <w:sz w:val="20"/>
        </w:rPr>
        <w:t>(f/k/a FIRST CASH FINANCIAL SERVICES, INC.</w:t>
      </w:r>
      <w:r>
        <w:rPr>
          <w:rFonts w:ascii="Times New Roman;Times;Serif" w:hAnsi="Times New Roman;Times;Serif"/>
          <w:b w:val="false"/>
          <w:i w:val="false"/>
          <w:caps w:val="false"/>
          <w:smallCaps w:val="false"/>
          <w:color w:val="0000FF"/>
          <w:sz w:val="20"/>
          <w:u w:val="single"/>
        </w:rPr>
        <w:t>, a Delaware corporation (the “US Borrower” and, in its capacity as representative of the Borrowers, the “Borrower Representative”), CHESS HOLDCO LIMITED, a company incorporated under the laws of England and Wales with company number 16434482 (“Chess Holdco”), CHESS BIDCO LIMITED, a company incorporated under the laws of England and Wales with company number 16434757 (“Chess Bidco” and, together with Chess Holdco, collectively, the “UK Borrowers”; the UK Borrowers, together with the US Borrower and any Additional Borrowers, collectively, the “Borrowers”</w:t>
      </w:r>
      <w:r>
        <w:rPr>
          <w:rFonts w:ascii="Times New Roman;Times;Serif" w:hAnsi="Times New Roman;Times;Serif"/>
          <w:b w:val="false"/>
          <w:i w:val="false"/>
          <w:caps w:val="false"/>
          <w:smallCaps w:val="false"/>
          <w:sz w:val="20"/>
        </w:rPr>
        <w:t>), the other Loan Parties party hereto, the Lenders party hereto, and WELLS FARGO BANK, NATIONAL ASSOCIATION, as Agent and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trike/>
          <w:color w:val="FF0000"/>
          <w:sz w:val="20"/>
        </w:rPr>
        <w:t>Borrower has</w:t>
      </w:r>
      <w:r>
        <w:rPr>
          <w:rFonts w:ascii="Times New Roman;Times;Serif" w:hAnsi="Times New Roman;Times;Serif"/>
          <w:b w:val="false"/>
          <w:i w:val="false"/>
          <w:caps w:val="false"/>
          <w:smallCaps w:val="false"/>
          <w:color w:val="0000FF"/>
          <w:sz w:val="20"/>
          <w:u w:val="single"/>
        </w:rPr>
        <w:t>Borrowers have</w:t>
      </w:r>
      <w:r>
        <w:rPr>
          <w:rFonts w:ascii="Times New Roman;Times;Serif" w:hAnsi="Times New Roman;Times;Serif"/>
          <w:b w:val="false"/>
          <w:i w:val="false"/>
          <w:caps w:val="false"/>
          <w:smallCaps w:val="false"/>
          <w:sz w:val="20"/>
        </w:rPr>
        <w:t xml:space="preserve"> requested that the Lenders (which shall include the Agent) provide a revolving credit facility, </w:t>
      </w:r>
      <w:r>
        <w:rPr>
          <w:rFonts w:ascii="Times New Roman;Times;Serif" w:hAnsi="Times New Roman;Times;Serif"/>
          <w:b w:val="false"/>
          <w:i w:val="false"/>
          <w:caps w:val="false"/>
          <w:smallCaps w:val="false"/>
          <w:color w:val="0000FF"/>
          <w:sz w:val="20"/>
          <w:u w:val="single"/>
        </w:rPr>
        <w:t xml:space="preserve">including Loans denominated in Dollars and certain Alternative Currencies specified herein and Letters of Credit denominated in Approved Currencies, </w:t>
      </w:r>
      <w:r>
        <w:rPr>
          <w:rFonts w:ascii="Times New Roman;Times;Serif" w:hAnsi="Times New Roman;Times;Serif"/>
          <w:b w:val="false"/>
          <w:i w:val="false"/>
          <w:caps w:val="false"/>
          <w:smallCaps w:val="false"/>
          <w:sz w:val="20"/>
        </w:rPr>
        <w:t>and the Lenders are willing to do so 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and agreements herein contained,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2018 Cash America</w:t>
      </w:r>
      <w:r>
        <w:rPr>
          <w:rFonts w:ascii="Times New Roman;Times;Serif" w:hAnsi="Times New Roman;Times;Serif"/>
          <w:b w:val="false"/>
          <w:i w:val="false"/>
          <w:caps w:val="false"/>
          <w:smallCaps w:val="false"/>
          <w:color w:val="0000FF"/>
          <w:sz w:val="20"/>
          <w:u w:val="single"/>
        </w:rPr>
        <w:t>2028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those certain </w:t>
      </w:r>
      <w:r>
        <w:rPr>
          <w:rFonts w:ascii="Times New Roman;Times;Serif" w:hAnsi="Times New Roman;Times;Serif"/>
          <w:b w:val="false"/>
          <w:i w:val="false"/>
          <w:caps w:val="false"/>
          <w:smallCaps w:val="false"/>
          <w:strike/>
          <w:color w:val="FF0000"/>
          <w:sz w:val="20"/>
        </w:rPr>
        <w:t>5.75</w:t>
      </w:r>
      <w:r>
        <w:rPr>
          <w:rFonts w:ascii="Times New Roman;Times;Serif" w:hAnsi="Times New Roman;Times;Serif"/>
          <w:b w:val="false"/>
          <w:i w:val="false"/>
          <w:caps w:val="false"/>
          <w:smallCaps w:val="false"/>
          <w:color w:val="0000FF"/>
          <w:sz w:val="20"/>
          <w:u w:val="single"/>
        </w:rPr>
        <w:t>4.625</w:t>
      </w:r>
      <w:r>
        <w:rPr>
          <w:rFonts w:ascii="Times New Roman;Times;Serif" w:hAnsi="Times New Roman;Times;Serif"/>
          <w:b w:val="false"/>
          <w:i w:val="false"/>
          <w:caps w:val="false"/>
          <w:smallCaps w:val="false"/>
          <w:sz w:val="20"/>
        </w:rPr>
        <w:t xml:space="preserve">% senior notes due </w:t>
      </w:r>
      <w:r>
        <w:rPr>
          <w:rFonts w:ascii="Times New Roman;Times;Serif" w:hAnsi="Times New Roman;Times;Serif"/>
          <w:b w:val="false"/>
          <w:i w:val="false"/>
          <w:caps w:val="false"/>
          <w:smallCaps w:val="false"/>
          <w:strike/>
          <w:color w:val="FF0000"/>
          <w:sz w:val="20"/>
        </w:rPr>
        <w:t>May 15, 2018</w:t>
      </w:r>
      <w:r>
        <w:rPr>
          <w:rFonts w:ascii="Times New Roman;Times;Serif" w:hAnsi="Times New Roman;Times;Serif"/>
          <w:b w:val="false"/>
          <w:i w:val="false"/>
          <w:caps w:val="false"/>
          <w:smallCaps w:val="false"/>
          <w:color w:val="0000FF"/>
          <w:sz w:val="20"/>
          <w:u w:val="single"/>
        </w:rPr>
        <w:t>2028</w:t>
      </w:r>
      <w:r>
        <w:rPr>
          <w:rFonts w:ascii="Times New Roman;Times;Serif" w:hAnsi="Times New Roman;Times;Serif"/>
          <w:b w:val="false"/>
          <w:i w:val="false"/>
          <w:caps w:val="false"/>
          <w:smallCaps w:val="false"/>
          <w:sz w:val="20"/>
        </w:rPr>
        <w:t xml:space="preserve"> issued by </w:t>
      </w:r>
      <w:r>
        <w:rPr>
          <w:rFonts w:ascii="Times New Roman;Times;Serif" w:hAnsi="Times New Roman;Times;Serif"/>
          <w:b w:val="false"/>
          <w:i w:val="false"/>
          <w:caps w:val="false"/>
          <w:smallCaps w:val="false"/>
          <w:strike/>
          <w:color w:val="FF0000"/>
          <w:sz w:val="20"/>
        </w:rPr>
        <w:t>Cash America</w:t>
      </w:r>
      <w:r>
        <w:rPr>
          <w:rFonts w:ascii="Times New Roman;Times;Serif" w:hAnsi="Times New Roman;Times;Serif"/>
          <w:b w:val="false"/>
          <w:i w:val="false"/>
          <w:caps w:val="false"/>
          <w:smallCaps w:val="false"/>
          <w:color w:val="0000FF"/>
          <w:sz w:val="20"/>
          <w:u w:val="single"/>
        </w:rPr>
        <w:t>the US Borrower</w:t>
      </w:r>
      <w:r>
        <w:rPr>
          <w:rFonts w:ascii="Times New Roman;Times;Serif" w:hAnsi="Times New Roman;Times;Serif"/>
          <w:b w:val="false"/>
          <w:i w:val="false"/>
          <w:caps w:val="false"/>
          <w:smallCaps w:val="false"/>
          <w:sz w:val="20"/>
        </w:rPr>
        <w:t xml:space="preserve"> to the holders thereof</w:t>
      </w:r>
      <w:r>
        <w:rPr>
          <w:rFonts w:ascii="Times New Roman;Times;Serif" w:hAnsi="Times New Roman;Times;Serif"/>
          <w:b w:val="false"/>
          <w:i w:val="false"/>
          <w:caps w:val="false"/>
          <w:smallCaps w:val="false"/>
          <w:strike/>
          <w:color w:val="FF0000"/>
          <w:sz w:val="20"/>
        </w:rPr>
        <w:t xml:space="preserve">, and any exchange notes of Cash America issued in exchange therefor pursuant to the terms of the indenture and the registration rights agreement dated May 15, 2013, in an aggregate principal amount not to exceed $300,000,000. </w:t>
      </w:r>
      <w:r>
        <w:rPr>
          <w:rFonts w:ascii="Times New Roman;Times;Serif" w:hAnsi="Times New Roman;Times;Serif"/>
          <w:b w:val="false"/>
          <w:i w:val="false"/>
          <w:caps w:val="false"/>
          <w:smallCaps w:val="false"/>
          <w:color w:val="0000FF"/>
          <w:sz w:val="20"/>
          <w:u w:val="single"/>
        </w:rPr>
        <w:t>pursuant to that certain Indenture, dated as of August 26, 2020 and as amended by that Supplemental Indenture dated November 17, 2021, between the US Borrower, the guarantors party thereto and BOKF, NA dba Bank of Texas,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2028 Notes Outstanding Amount” has the meaning assigned to such term in the definition of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2028</w:t>
      </w:r>
      <w:r>
        <w:rPr>
          <w:rFonts w:ascii="Times New Roman;Times;Serif" w:hAnsi="Times New Roman;Times;Serif"/>
          <w:b w:val="false"/>
          <w:i w:val="false"/>
          <w:caps w:val="false"/>
          <w:smallCaps w:val="false"/>
          <w:color w:val="0000FF"/>
          <w:sz w:val="20"/>
          <w:u w:val="single"/>
        </w:rPr>
        <w:t>2030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those certain </w:t>
      </w:r>
      <w:r>
        <w:rPr>
          <w:rFonts w:ascii="Times New Roman;Times;Serif" w:hAnsi="Times New Roman;Times;Serif"/>
          <w:b w:val="false"/>
          <w:i w:val="false"/>
          <w:caps w:val="false"/>
          <w:smallCaps w:val="false"/>
          <w:strike/>
          <w:color w:val="FF0000"/>
          <w:sz w:val="20"/>
        </w:rPr>
        <w:t>4.625</w:t>
      </w:r>
      <w:r>
        <w:rPr>
          <w:rFonts w:ascii="Times New Roman;Times;Serif" w:hAnsi="Times New Roman;Times;Serif"/>
          <w:b w:val="false"/>
          <w:i w:val="false"/>
          <w:caps w:val="false"/>
          <w:smallCaps w:val="false"/>
          <w:color w:val="0000FF"/>
          <w:sz w:val="20"/>
          <w:u w:val="single"/>
        </w:rPr>
        <w:t>5.625</w:t>
      </w:r>
      <w:r>
        <w:rPr>
          <w:rFonts w:ascii="Times New Roman;Times;Serif" w:hAnsi="Times New Roman;Times;Serif"/>
          <w:b w:val="false"/>
          <w:i w:val="false"/>
          <w:caps w:val="false"/>
          <w:smallCaps w:val="false"/>
          <w:sz w:val="20"/>
        </w:rPr>
        <w:t xml:space="preserve">% senior notes due </w:t>
      </w:r>
      <w:r>
        <w:rPr>
          <w:rFonts w:ascii="Times New Roman;Times;Serif" w:hAnsi="Times New Roman;Times;Serif"/>
          <w:b w:val="false"/>
          <w:i w:val="false"/>
          <w:caps w:val="false"/>
          <w:smallCaps w:val="false"/>
          <w:strike/>
          <w:color w:val="FF0000"/>
          <w:sz w:val="20"/>
        </w:rPr>
        <w:t>2028</w:t>
      </w:r>
      <w:r>
        <w:rPr>
          <w:rFonts w:ascii="Times New Roman;Times;Serif" w:hAnsi="Times New Roman;Times;Serif"/>
          <w:b w:val="false"/>
          <w:i w:val="false"/>
          <w:caps w:val="false"/>
          <w:smallCaps w:val="false"/>
          <w:color w:val="0000FF"/>
          <w:sz w:val="20"/>
          <w:u w:val="single"/>
        </w:rPr>
        <w:t>2030</w:t>
      </w:r>
      <w:r>
        <w:rPr>
          <w:rFonts w:ascii="Times New Roman;Times;Serif" w:hAnsi="Times New Roman;Times;Serif"/>
          <w:b w:val="false"/>
          <w:i w:val="false"/>
          <w:caps w:val="false"/>
          <w:smallCaps w:val="false"/>
          <w:sz w:val="20"/>
        </w:rPr>
        <w:t xml:space="preserve"> issued by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 xml:space="preserve">Borrower to the holders thereof pursuant to that certain Indenture, dated as of </w:t>
      </w:r>
      <w:r>
        <w:rPr>
          <w:rFonts w:ascii="Times New Roman;Times;Serif" w:hAnsi="Times New Roman;Times;Serif"/>
          <w:b w:val="false"/>
          <w:i w:val="false"/>
          <w:caps w:val="false"/>
          <w:smallCaps w:val="false"/>
          <w:strike/>
          <w:color w:val="FF0000"/>
          <w:sz w:val="20"/>
        </w:rPr>
        <w:t>August 26, 2020 and as amended by that Supplemental Indenture dated November 17</w:t>
      </w:r>
      <w:r>
        <w:rPr>
          <w:rFonts w:ascii="Times New Roman;Times;Serif" w:hAnsi="Times New Roman;Times;Serif"/>
          <w:b w:val="false"/>
          <w:i w:val="false"/>
          <w:caps w:val="false"/>
          <w:smallCaps w:val="false"/>
          <w:color w:val="0000FF"/>
          <w:sz w:val="20"/>
          <w:u w:val="single"/>
        </w:rPr>
        <w:t>December 13</w:t>
      </w:r>
      <w:r>
        <w:rPr>
          <w:rFonts w:ascii="Times New Roman;Times;Serif" w:hAnsi="Times New Roman;Times;Serif"/>
          <w:b w:val="false"/>
          <w:i w:val="false"/>
          <w:caps w:val="false"/>
          <w:smallCaps w:val="false"/>
          <w:sz w:val="20"/>
        </w:rPr>
        <w:t xml:space="preserve">, 2021, between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 the guarantors party thereto and BOKF, NA dba Bank of Texas,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2028</w:t>
      </w:r>
      <w:r>
        <w:rPr>
          <w:rFonts w:ascii="Times New Roman;Times;Serif" w:hAnsi="Times New Roman;Times;Serif"/>
          <w:b w:val="false"/>
          <w:i w:val="false"/>
          <w:caps w:val="false"/>
          <w:smallCaps w:val="false"/>
          <w:color w:val="0000FF"/>
          <w:sz w:val="20"/>
          <w:u w:val="single"/>
        </w:rPr>
        <w:t>2030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Notes Outstanding Amount</w:t>
      </w:r>
      <w:r>
        <w:rPr>
          <w:rFonts w:ascii="Times New Roman;Times;Serif" w:hAnsi="Times New Roman;Times;Serif"/>
          <w:b w:val="false"/>
          <w:i w:val="false"/>
          <w:caps w:val="false"/>
          <w:smallCaps w:val="false"/>
          <w:sz w:val="20"/>
        </w:rPr>
        <w:t>” has the meaning assigned to such term in the definition of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2032 Notes” means those certain 6.875% senior notes due 2032 issued by the US Borrower to the holders thereof pursuant to that certain Indenture, dated as of February 21, 2024, between the US Borrower, the guarantors party thereto and BOKF, NA dba Bank of Texas,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2034 Notes” means those certain 6.125% senior notes due 2034 issued by the US Borrower to the holders thereof pursuant to that certain Indenture, dated as of May 1, 2026, between the US Borrower, the guarantors party thereto and BOKF, NA dba Bank of Texas,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any series of related transactions (including, without limitation, related mergers, consolidations and amalgamations), consummated on or after the Closing Date, by which any Loan Party or any of its Subsidiaries (a) acquires any business, real estate assets, division, line of business or all or substantially all of the assets of any firm, corporation, partnership or limited liability company, or division thereof, whether through purchase of assets, merger or otherwise or (b) directly or indirectly acquires (in one transaction or as the most recent transaction in a series of transactions) at least a majority (in number of votes) of the securities or other Equity Interests of a corporation or other Person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Additional Borrower” means any Subsidiary organized in an Approved Jurisdiction that becomes a Borrower after the Tenth Amendment Effective Date pursuant to Section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Additional Guarantor” means any Subsidiary organized in an Approved Jurisdiction that becomes a Loan Guarantor after the Tenth Amendment Effective Date pursuant to Section 1.9 or Section 6.20.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Additional Loan Parties” means, collectively, the Additional Borrowers and the Additional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Unsecured Senior Debt</w:t>
      </w:r>
      <w:r>
        <w:rPr>
          <w:rFonts w:ascii="Times New Roman;Times;Serif" w:hAnsi="Times New Roman;Times;Serif"/>
          <w:b w:val="false"/>
          <w:i w:val="false"/>
          <w:caps w:val="false"/>
          <w:smallCaps w:val="false"/>
          <w:sz w:val="20"/>
        </w:rPr>
        <w:t xml:space="preserve">” means any Indebtedness of a Loan Party incurred or issued after the Closing Date which (a) is not secured, directly or indirectly, or in whole or in part, by a Lien, and (b) has a maturity date at least six (6) months after the Maturity Date and such Indebtedness shall not be subject to amortization or prepayment requirements in an aggregate principal amount of more than $90,000,000 prior to such maturity date (other than in connection with a change of control transaction or asset sale). For the avoidance of doubt, </w:t>
      </w:r>
      <w:r>
        <w:rPr>
          <w:rFonts w:ascii="Times New Roman;Times;Serif" w:hAnsi="Times New Roman;Times;Serif"/>
          <w:b w:val="false"/>
          <w:i w:val="false"/>
          <w:caps w:val="false"/>
          <w:smallCaps w:val="false"/>
          <w:strike/>
          <w:color w:val="FF0000"/>
          <w:sz w:val="20"/>
        </w:rPr>
        <w:t>the AFF Acquisition Senior Notes</w:t>
      </w:r>
      <w:r>
        <w:rPr>
          <w:rFonts w:ascii="Times New Roman;Times;Serif" w:hAnsi="Times New Roman;Times;Serif"/>
          <w:b w:val="false"/>
          <w:i w:val="false"/>
          <w:caps w:val="false"/>
          <w:smallCaps w:val="false"/>
          <w:color w:val="0000FF"/>
          <w:sz w:val="20"/>
          <w:u w:val="single"/>
        </w:rPr>
        <w:t>any Permitted Bridge Financing</w:t>
      </w:r>
      <w:r>
        <w:rPr>
          <w:rFonts w:ascii="Times New Roman;Times;Serif" w:hAnsi="Times New Roman;Times;Serif"/>
          <w:b w:val="false"/>
          <w:i w:val="false"/>
          <w:caps w:val="false"/>
          <w:smallCaps w:val="false"/>
          <w:sz w:val="20"/>
        </w:rPr>
        <w:t xml:space="preserve"> shall constitute Additional Unsecured Senior Debt from and after the </w:t>
      </w:r>
      <w:r>
        <w:rPr>
          <w:rFonts w:ascii="Times New Roman;Times;Serif" w:hAnsi="Times New Roman;Times;Serif"/>
          <w:b w:val="false"/>
          <w:i w:val="false"/>
          <w:caps w:val="false"/>
          <w:smallCaps w:val="false"/>
          <w:strike/>
          <w:color w:val="FF0000"/>
          <w:sz w:val="20"/>
        </w:rPr>
        <w:t>Fifth</w:t>
      </w:r>
      <w:r>
        <w:rPr>
          <w:rFonts w:ascii="Times New Roman;Times;Serif" w:hAnsi="Times New Roman;Times;Serif"/>
          <w:b w:val="false"/>
          <w:i w:val="false"/>
          <w:caps w:val="false"/>
          <w:smallCaps w:val="false"/>
          <w:color w:val="0000FF"/>
          <w:sz w:val="20"/>
          <w:u w:val="single"/>
        </w:rPr>
        <w:t>Tenth</w:t>
      </w:r>
      <w:r>
        <w:rPr>
          <w:rFonts w:ascii="Times New Roman;Times;Serif" w:hAnsi="Times New Roman;Times;Serif"/>
          <w:b w:val="false"/>
          <w:i w:val="false"/>
          <w:caps w:val="false"/>
          <w:smallCaps w:val="false"/>
          <w:sz w:val="20"/>
        </w:rPr>
        <w:t xml:space="preserv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Adjusted Daily Simple RFR” means, for any day (an “RFR Rate Day”), a rate per annum equal to, for any Obligations, interest, fees, commissions or other amounts denominated in, or calculated with respect to Sterling, the greater of (a) SONIA for the day that is five (5) RFR Business Days prior to (A) if such RFR Rate Day is an RFR Business Day, such RFR Rate Day or (B) if such RFR Rate Day is not an RFR Business Day, the RFR Business Day immediately preceding such RFR Rate Day, as such SONIA is published by the SONIA Administrator on the SONIA Administrator’s Website and (b)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Term SOFR</w:t>
      </w:r>
      <w:r>
        <w:rPr>
          <w:rFonts w:ascii="Times New Roman;Times;Serif" w:hAnsi="Times New Roman;Times;Serif"/>
          <w:b w:val="false"/>
          <w:i w:val="false"/>
          <w:caps w:val="false"/>
          <w:smallCaps w:val="false"/>
          <w:sz w:val="20"/>
        </w:rPr>
        <w:t xml:space="preserve">” means, for purposes of any calculation, the rate per annum equal to Term SOFR for such calculation;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Adjusted Term SOFR as so determined shall ever be less than the Floor, then Adjusted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xml:space="preserve">” means (i) the advancing of </w:t>
      </w:r>
      <w:r>
        <w:rPr>
          <w:rFonts w:ascii="Times New Roman;Times;Serif" w:hAnsi="Times New Roman;Times;Serif"/>
          <w:b w:val="false"/>
          <w:i w:val="false"/>
          <w:caps w:val="false"/>
          <w:smallCaps w:val="false"/>
          <w:color w:val="0000FF"/>
          <w:sz w:val="20"/>
          <w:u w:val="single"/>
        </w:rPr>
        <w:t>(A) </w:t>
      </w:r>
      <w:r>
        <w:rPr>
          <w:rFonts w:ascii="Times New Roman;Times;Serif" w:hAnsi="Times New Roman;Times;Serif"/>
          <w:b w:val="false"/>
          <w:i w:val="false"/>
          <w:caps w:val="false"/>
          <w:smallCaps w:val="false"/>
          <w:sz w:val="20"/>
        </w:rPr>
        <w:t xml:space="preserve">any Loan </w:t>
      </w:r>
      <w:r>
        <w:rPr>
          <w:rFonts w:ascii="Times New Roman;Times;Serif" w:hAnsi="Times New Roman;Times;Serif"/>
          <w:b w:val="false"/>
          <w:i w:val="false"/>
          <w:caps w:val="false"/>
          <w:smallCaps w:val="false"/>
          <w:color w:val="0000FF"/>
          <w:sz w:val="20"/>
          <w:u w:val="single"/>
        </w:rPr>
        <w:t xml:space="preserve">(other than a Swingline Loan) </w:t>
      </w:r>
      <w:r>
        <w:rPr>
          <w:rFonts w:ascii="Times New Roman;Times;Serif" w:hAnsi="Times New Roman;Times;Serif"/>
          <w:b w:val="false"/>
          <w:i w:val="false"/>
          <w:caps w:val="false"/>
          <w:smallCaps w:val="false"/>
          <w:sz w:val="20"/>
        </w:rPr>
        <w:t xml:space="preserve">consisting of the aggregate amount of the several Loans of the same Type and, in the case of SOFR Advances, for the same Interest Period </w:t>
      </w:r>
      <w:r>
        <w:rPr>
          <w:rFonts w:ascii="Times New Roman;Times;Serif" w:hAnsi="Times New Roman;Times;Serif"/>
          <w:b w:val="false"/>
          <w:i w:val="false"/>
          <w:caps w:val="false"/>
          <w:smallCaps w:val="false"/>
          <w:color w:val="0000FF"/>
          <w:sz w:val="20"/>
          <w:u w:val="single"/>
        </w:rPr>
        <w:t xml:space="preserve">(including, for the avoidance of doubt, any Alternative Currency Loan and any Incremental Term Loan) or (B) any Swingline Loan </w:t>
      </w:r>
      <w:r>
        <w:rPr>
          <w:rFonts w:ascii="Times New Roman;Times;Serif" w:hAnsi="Times New Roman;Times;Serif"/>
          <w:b w:val="false"/>
          <w:i w:val="false"/>
          <w:caps w:val="false"/>
          <w:smallCaps w:val="false"/>
          <w:sz w:val="20"/>
        </w:rPr>
        <w:t>or (ii)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val="false"/>
          <w:i w:val="false"/>
          <w:caps w:val="false"/>
          <w:smallCaps w:val="false"/>
          <w:sz w:val="20"/>
        </w:rPr>
        <w:t>the issuance of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 Acquisition</w:t>
      </w:r>
      <w:r>
        <w:rPr>
          <w:rFonts w:ascii="Times New Roman;Times;Serif" w:hAnsi="Times New Roman;Times;Serif"/>
          <w:b w:val="false"/>
          <w:i w:val="false"/>
          <w:caps w:val="false"/>
          <w:smallCaps w:val="false"/>
          <w:sz w:val="20"/>
        </w:rPr>
        <w:t>” means the acquisition by the Borrower of all or substantially all of the Equity Interests of American First Finance Inc., a Kansas corporation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AFF Acquisition Senior Notes</w:t>
      </w:r>
      <w:r>
        <w:rPr>
          <w:rFonts w:ascii="Times New Roman;Times;Serif" w:hAnsi="Times New Roman;Times;Serif"/>
          <w:b w:val="false"/>
          <w:i w:val="false"/>
          <w:caps w:val="false"/>
          <w:smallCaps w:val="false"/>
          <w:strike/>
          <w:color w:val="FF0000"/>
          <w:sz w:val="20"/>
        </w:rPr>
        <w:t>” means those certain senior notes in an aggregate amount not to exceed $600,000,000 issued by the Borrower to the holders thereof in connection with the AFF Acquisition as contemplated by the Fifth Amendment; provided, that such senior notes (a) are not secured, directly or indirectly, or in whole or in part, by a Lien, and (b) have a maturity date at least six (6) months after the Maturity Date and such Indebtedness shall not be subject to amortization or prepayment requirements in an aggregate principal amount of more than $90,000,000 prior to such maturity date (other than in connection with a change of control transaction or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shall mean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any other Person directly or indirectly controlling, controlled by or under common control with such Person.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xml:space="preserve">” means Wells Fargo Bank, National Association, in its capacity as administrative agent and contractual representative of the Lenders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and not in its individual capacity as a Lender, and any successor Agent appointed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Agent-Related Persons</w:t>
      </w:r>
      <w:r>
        <w:rPr>
          <w:rFonts w:ascii="Times New Roman;Times;Serif" w:hAnsi="Times New Roman;Times;Serif"/>
          <w:b w:val="false"/>
          <w:i w:val="false"/>
          <w:caps w:val="false"/>
          <w:smallCaps w:val="false"/>
          <w:sz w:val="20"/>
        </w:rPr>
        <w:t>” means the Agent (including any successor agent), together with its Affiliates, and the officers, directors, employees, agents and attorneys-in-fact of such Persons and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Commitment</w:t>
      </w:r>
      <w:r>
        <w:rPr>
          <w:rFonts w:ascii="Times New Roman;Times;Serif" w:hAnsi="Times New Roman;Times;Serif"/>
          <w:b w:val="false"/>
          <w:i w:val="false"/>
          <w:caps w:val="false"/>
          <w:smallCaps w:val="false"/>
          <w:sz w:val="20"/>
        </w:rPr>
        <w:t xml:space="preserve">” means the aggregate of the Commitments of all Lenders, as increased and/or reduced from time to time pursuant to the terms hereof, which as of the </w:t>
      </w:r>
      <w:r>
        <w:rPr>
          <w:rFonts w:ascii="Times New Roman;Times;Serif" w:hAnsi="Times New Roman;Times;Serif"/>
          <w:b w:val="false"/>
          <w:i w:val="false"/>
          <w:caps w:val="false"/>
          <w:smallCaps w:val="false"/>
          <w:strike/>
          <w:color w:val="FF0000"/>
          <w:sz w:val="20"/>
        </w:rPr>
        <w:t>Eighth</w:t>
      </w:r>
      <w:r>
        <w:rPr>
          <w:rFonts w:ascii="Times New Roman;Times;Serif" w:hAnsi="Times New Roman;Times;Serif"/>
          <w:b w:val="false"/>
          <w:i w:val="false"/>
          <w:caps w:val="false"/>
          <w:smallCaps w:val="false"/>
          <w:color w:val="0000FF"/>
          <w:sz w:val="20"/>
          <w:u w:val="single"/>
        </w:rPr>
        <w:t>Tenth</w:t>
      </w:r>
      <w:r>
        <w:rPr>
          <w:rFonts w:ascii="Times New Roman;Times;Serif" w:hAnsi="Times New Roman;Times;Serif"/>
          <w:b w:val="false"/>
          <w:i w:val="false"/>
          <w:caps w:val="false"/>
          <w:smallCaps w:val="false"/>
          <w:sz w:val="20"/>
        </w:rPr>
        <w:t xml:space="preserve"> Amendment Effective Date shall be equal to </w:t>
      </w:r>
      <w:r>
        <w:rPr>
          <w:rFonts w:ascii="Times New Roman;Times;Serif" w:hAnsi="Times New Roman;Times;Serif"/>
          <w:b w:val="false"/>
          <w:i w:val="false"/>
          <w:caps w:val="false"/>
          <w:smallCaps w:val="false"/>
          <w:strike/>
          <w:color w:val="FF0000"/>
          <w:sz w:val="20"/>
        </w:rPr>
        <w:t xml:space="preserve">Seven Hundred Million and no/100 Dollars ($700,000,000.00). </w:t>
      </w:r>
      <w:r>
        <w:rPr>
          <w:rFonts w:ascii="Times New Roman;Times;Serif" w:hAnsi="Times New Roman;Times;Serif"/>
          <w:b w:val="false"/>
          <w:i w:val="false"/>
          <w:caps w:val="false"/>
          <w:smallCaps w:val="false"/>
          <w:color w:val="0000FF"/>
          <w:sz w:val="20"/>
          <w:u w:val="single"/>
        </w:rPr>
        <w:t>$1,055,000,000.00. For the avoidance of doubt, each of the Alternative Currency Commitments and the Swingline Commitment is part of, and not in addition to, the Aggregate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Revenue Threshold</w:t>
      </w:r>
      <w:r>
        <w:rPr>
          <w:rFonts w:ascii="Times New Roman;Times;Serif" w:hAnsi="Times New Roman;Times;Serif"/>
          <w:b w:val="false"/>
          <w:i w:val="false"/>
          <w:caps w:val="false"/>
          <w:smallCaps w:val="false"/>
          <w:sz w:val="20"/>
        </w:rPr>
        <w:t xml:space="preserve">” means an amount equal to eighty-five percent (85%) </w:t>
      </w:r>
      <w:r>
        <w:rPr>
          <w:rFonts w:ascii="Times New Roman;Times;Serif" w:hAnsi="Times New Roman;Times;Serif"/>
          <w:b w:val="false"/>
          <w:i w:val="false"/>
          <w:caps w:val="false"/>
          <w:smallCaps w:val="false"/>
          <w:color w:val="0000FF"/>
          <w:sz w:val="20"/>
          <w:u w:val="single"/>
        </w:rPr>
        <w:t xml:space="preserve">(or such lesser percentage as may be agreed by the Borrower Representative and the Required Lenders; provided that, if Lenders constituting the Required Lenders shall not have objected to any such foregoing-described reduction in writing to the Agent within ten (10) Business Days following receipt of notice thereof, the Required Lenders shall be deemed to have consented to such reduction) </w:t>
      </w:r>
      <w:r>
        <w:rPr>
          <w:rFonts w:ascii="Times New Roman;Times;Serif" w:hAnsi="Times New Roman;Times;Serif"/>
          <w:b w:val="false"/>
          <w:i w:val="false"/>
          <w:caps w:val="false"/>
          <w:smallCaps w:val="false"/>
          <w:sz w:val="20"/>
        </w:rPr>
        <w:t xml:space="preserve">of the total consolidated revenue and eighty-five percent (85%) </w:t>
      </w:r>
      <w:r>
        <w:rPr>
          <w:rFonts w:ascii="Times New Roman;Times;Serif" w:hAnsi="Times New Roman;Times;Serif"/>
          <w:b w:val="false"/>
          <w:i w:val="false"/>
          <w:caps w:val="false"/>
          <w:smallCaps w:val="false"/>
          <w:color w:val="0000FF"/>
          <w:sz w:val="20"/>
          <w:u w:val="single"/>
        </w:rPr>
        <w:t xml:space="preserve">(or such lesser percentage as may be agreed by the Borrower Representative and the Required Lenders; provided that, if Lenders constituting the Required Lenders shall not have objected to any such foregoing-described reduction in writing to the Agent within ten (10) Business Days following receipt of notice thereof, the Required Lenders shall be deemed to have consented to such reduction) </w:t>
      </w:r>
      <w:r>
        <w:rPr>
          <w:rFonts w:ascii="Times New Roman;Times;Serif" w:hAnsi="Times New Roman;Times;Serif"/>
          <w:b w:val="false"/>
          <w:i w:val="false"/>
          <w:caps w:val="false"/>
          <w:smallCaps w:val="false"/>
          <w:sz w:val="20"/>
        </w:rPr>
        <w:t xml:space="preserve">of Consolidated Total Assets, in each case, of the Loan Parties and their </w:t>
      </w:r>
      <w:r>
        <w:rPr>
          <w:rFonts w:ascii="Times New Roman;Times;Serif" w:hAnsi="Times New Roman;Times;Serif"/>
          <w:b w:val="false"/>
          <w:i w:val="false"/>
          <w:caps w:val="false"/>
          <w:smallCaps w:val="false"/>
          <w:strike/>
          <w:color w:val="FF0000"/>
          <w:sz w:val="20"/>
        </w:rPr>
        <w:t xml:space="preserve">Domestic </w:t>
      </w:r>
      <w:r>
        <w:rPr>
          <w:rFonts w:ascii="Times New Roman;Times;Serif" w:hAnsi="Times New Roman;Times;Serif"/>
          <w:b w:val="false"/>
          <w:i w:val="false"/>
          <w:caps w:val="false"/>
          <w:smallCaps w:val="false"/>
          <w:sz w:val="20"/>
        </w:rPr>
        <w:t xml:space="preserve">Subsidiaries for the most recent fiscal quarter as shown on the financial statements most recently delivered or required to be delivered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 provided that, the foregoing-described calculation shall exclude the revenue and assets of any (x) captive insurance Subsidiary and (y) Subsidiary that is organized in (i) Mexico or (ii) any other jurisdiction that is not an Approved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means each Non-USD Approved Currency. References shall be deemed to refer only to Non-USD Approved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Borrower” means (a) each UK Borrower and (b) any Additional Borrower that (i) is organized in an Approved Jurisdiction and (ii) has been approved in writing by the Agent and each Alternative Currency Lender as an Alternative Currency Borrower, in each case solely with respect to Alternative Currency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Commitment” means, with respect to each Alternative Currency Lender, the commitment of such Alternative Currency Lender to make Alternative Currency Loans and acquire and hold participations in L/C Obligations denominated in Alternative Currencies hereunder, expressed as an amount representing the maximum aggregate Dollar Equivalent amount of such Alternative Currency Lender’s Alternative Currency Exposure, as such commitment may be reduced or increased from time to time pursuant to the terms hereof. The initial amount of each Alternative Currency Lender’s Alternative Currency Commitment is set forth on the most recent Commitment Schedule, or in the Assignment and Assumption pursuant to which such Lender shall have assumed its Alternative Currency Commitment. For the avoidance of doubt, (x) the Alternative Currency Commitment of any Lender that is not an Alternative Currency Lender shall be zero and (y) each Alternative Currency Commitment is part of, and not in addition to, such Lender’s Commitment and the Aggregate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Equivalent” means, subject to Section 1.6(b), for any amount, at the time of determination thereof, with respect to any amount expressed in Dollars, the equivalent of such amount thereof in the applicable Alternative Currency as determined by the Agent in its sole discretion by reference to the most recent Spot Rate (as determined as of the most recent Revaluation Date) for the purchase of such Alternative Currency with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Exposure” means, at any time, (a) with respect to any Alternative Currency Lender, the sum of (i) the Dollar Equivalent of the aggregate principal amount of such Alternative Currency Lender’s outstanding Alternative Currency Loans and (ii) such Alternative Currency Lender’s Alternative Currency Pro Rata Share of outstanding L/C Obligations denominated in Alternative Currencies, and (b) with respect to all Alternative Currency Lenders, the sum of the amounts described in clause (a) for all Alternative Currency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Lender” means a Lender with an Alternative Currency Commitment or, if the Alternative Currency Commitments have terminated or expired, a Lender holding interests in Alternative Currency Loans or participations in L/C Obligations denominated in Alternative Currencies. An Alternative Currency Lender may, in its discretion, arrange for one or more Alternative Currency Loans to be made by one or more of its domestic or foreign branches or Affiliates, in which case the term “Alternative Currency Lender” shall include any such branch or Affiliate with respect to Loans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Loan” means any Loan denominated in an Alternative Currency made by an Alternative Currency Lender to an Alternative Currency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Pro Rata Share” means, with respect to each Alternative Currency Lender, the percentage (carried out to the seventh decimal place) of the aggregate Alternative Currency Commitments represented by such Alternative Currency Lender’s Alternative Currency Commitment as set forth opposite the name of such Alternative Currency Lender on the most recent Commitment Schedule (and as such share may be adjusted as contemplated herein); provided that if the Alternative Currency Commitments have terminated or expired, the Alternative Currency Pro Rata Share of each Alternative Currency Lender shall be determined based on the Alternative Currency Exposure held by such Alternative Currency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RFR Advance” means any Advance consisting of Alternative Currency Loans denominated in Sterling bearing interest at a rate based on Adjusted Daily Simple RFR as provided in Section 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Alternative Currency Sublimit” means an amount equal to $500,000,000 for all Loans and L/C Obligations denominated in Alternative Currencies, collectively. The Alternative Currency Sublimit is part of, and not in addition to, the aggregate Alternative Currency Commitments and the Aggregate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all applicable provisions of constitutions, laws, statutes, ordinances, rules, treaties, regulations, permits, licenses, approvals, interpretations and orders of Governmental Authorities and all orders and decrees of all courts and arbitrators.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Applicable Currency” means any Approved Currency,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xml:space="preserve">” means, for any day, with respect to any Loan, the applicable spread set forth below under the caption “CBFR Spread,” “Adjusted Term SOFR </w:t>
      </w:r>
      <w:r>
        <w:rPr>
          <w:rFonts w:ascii="Times New Roman;Times;Serif" w:hAnsi="Times New Roman;Times;Serif"/>
          <w:b w:val="false"/>
          <w:i w:val="false"/>
          <w:caps w:val="false"/>
          <w:smallCaps w:val="false"/>
          <w:color w:val="0000FF"/>
          <w:sz w:val="20"/>
          <w:u w:val="single"/>
        </w:rPr>
        <w:t xml:space="preserve">/ SONIA </w:t>
      </w:r>
      <w:r>
        <w:rPr>
          <w:rFonts w:ascii="Times New Roman;Times;Serif" w:hAnsi="Times New Roman;Times;Serif"/>
          <w:b w:val="false"/>
          <w:i w:val="false"/>
          <w:caps w:val="false"/>
          <w:smallCaps w:val="false"/>
          <w:sz w:val="20"/>
        </w:rPr>
        <w:t>Spread” or “Commitment Fee Rate,” as the case may be.</w:t>
      </w:r>
    </w:p>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10" w:type="dxa"/>
        <w:tblLayout w:type="fixed"/>
        <w:tblCellMar>
          <w:top w:w="28" w:type="dxa"/>
          <w:left w:w="98" w:type="dxa"/>
          <w:bottom w:w="28" w:type="dxa"/>
          <w:right w:w="98" w:type="dxa"/>
        </w:tblCellMar>
      </w:tblPr>
      <w:tblGrid>
        <w:gridCol w:w="1145"/>
        <w:gridCol w:w="1745"/>
        <w:gridCol w:w="1430"/>
      </w:tblGrid>
      <w:tr>
        <w:trPr/>
        <w:tc>
          <w:tcPr>
            <w:tcW w:w="1145"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CBFR Spread</w:t>
            </w:r>
          </w:p>
        </w:tc>
        <w:tc>
          <w:tcPr>
            <w:tcW w:w="174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Adjusted Term SOFR</w:t>
              <w:br/>
            </w:r>
            <w:r>
              <w:rPr>
                <w:rFonts w:ascii="Times New Roman;Times;Serif" w:hAnsi="Times New Roman;Times;Serif"/>
                <w:b w:val="false"/>
                <w:i w:val="false"/>
                <w:caps w:val="false"/>
                <w:smallCaps w:val="false"/>
                <w:color w:val="0000FF"/>
                <w:sz w:val="20"/>
                <w:u w:val="single"/>
              </w:rPr>
              <w:t xml:space="preserve">/ SONIA </w:t>
            </w:r>
            <w:r>
              <w:rPr>
                <w:rFonts w:ascii="Times New Roman;Times;Serif" w:hAnsi="Times New Roman;Times;Serif"/>
                <w:b w:val="false"/>
                <w:i w:val="false"/>
                <w:caps w:val="false"/>
                <w:smallCaps w:val="false"/>
                <w:sz w:val="20"/>
                <w:u w:val="single"/>
              </w:rPr>
              <w:t>Spread</w:t>
            </w:r>
          </w:p>
        </w:tc>
        <w:tc>
          <w:tcPr>
            <w:tcW w:w="143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Commitment Fee</w:t>
              <w:br/>
            </w:r>
            <w:r>
              <w:rPr>
                <w:rFonts w:ascii="Times New Roman;Times;Serif" w:hAnsi="Times New Roman;Times;Serif"/>
                <w:b w:val="false"/>
                <w:i w:val="false"/>
                <w:caps w:val="false"/>
                <w:smallCaps w:val="false"/>
                <w:sz w:val="20"/>
              </w:rPr>
              <w:t>Rate</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 bps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 bps</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rFonts w:ascii="Times New Roman;Times;Serif" w:hAnsi="Times New Roman;Times;Serif"/>
                <w:strike/>
                <w:color w:val="FF0000"/>
                <w:sz w:val="20"/>
              </w:rPr>
              <w:t>32.5</w:t>
            </w:r>
            <w:r>
              <w:rPr>
                <w:rFonts w:ascii="Times New Roman;Times;Serif" w:hAnsi="Times New Roman;Times;Serif"/>
                <w:color w:val="0000FF"/>
                <w:sz w:val="20"/>
                <w:u w:val="single"/>
              </w:rPr>
              <w:t>25</w:t>
            </w:r>
            <w:r>
              <w:rPr>
                <w:sz w:val="20"/>
              </w:rPr>
              <w:t xml:space="preserve"> </w:t>
            </w:r>
            <w:r>
              <w:rPr>
                <w:rFonts w:ascii="Times New Roman;Times;Serif" w:hAnsi="Times New Roman;Times;Serif"/>
                <w:sz w:val="20"/>
              </w:rPr>
              <w:t>bps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Approved Currencies” means Dollars and Sterling.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Approved Jurisdictions” means (i) the United States, (ii) the United Kingdom, (iii) Canada, (iv) Mexico, (v) Austria, (vi) Belgium, (vii) Germany, (viii) Luxembourg, (ix) the Netherlands, (x) Switzerland, (xi) Sweden, (xii) Ireland, (xiii) Norway, (xiv) Portugal, (xv) Poland and (xvi) any other jurisdiction that the Agent and the Lenders, in their sole discretion, deem acceptable, including after considering recognition and enforcement of judgments and arbitral awards, compliance with applicable sanctions, anti-money laundering, anti-bribery and anti-corruption laws, and such other considerations as the Agent and the Lenders reasonably deem relevant; provided that, with respect to any jurisdiction approved pursuant to the foregoing subclause (xvi), the Agent and any Lender may refuse to approve or may withdraw approval if, in its reasonable judgment, the relevant enforcement framework is inadequate or such joinder would create unacceptable legal, regulatory, reputational or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means an article of this Agreement unless another document is specifically referenced.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means an assignment and assumption entered into by a Lender and an eligible assignee permitted by Article</w:t>
      </w:r>
      <w:r>
        <w:rPr>
          <w:rFonts w:ascii="Times New Roman;Times;Serif" w:hAnsi="Times New Roman;Times;Serif"/>
          <w:b w:val="false"/>
          <w:i w:val="false"/>
          <w:caps w:val="false"/>
          <w:smallCaps w:val="false"/>
          <w:sz w:val="20"/>
          <w:u w:val="single"/>
        </w:rPr>
        <w:t> XII</w:t>
      </w:r>
      <w:r>
        <w:rPr>
          <w:rFonts w:ascii="Times New Roman;Times;Serif" w:hAnsi="Times New Roman;Times;Serif"/>
          <w:b w:val="false"/>
          <w:i w:val="false"/>
          <w:caps w:val="false"/>
          <w:smallCaps w:val="false"/>
          <w:sz w:val="20"/>
        </w:rPr>
        <w:t xml:space="preserve"> (with the consent of any party whose consent is required by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and accepted by the Agent,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or any other form approved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xml:space="preserve">” means the chief executive officer, the president, the chief financial officer, the treasurer, the chief operating officer or a vice president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or any Subsidiary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or such other representative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or such Subsidiary as may be designated in writing by any one of the foregoing with the consent of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Section 3.6(c)(iv)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 means each and any of the following bank services provided to any Loan Party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overdrafts and interstate depository network services) and (e) products under any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Obligations</w:t>
      </w:r>
      <w:r>
        <w:rPr>
          <w:rFonts w:ascii="Times New Roman;Times;Serif" w:hAnsi="Times New Roman;Times;Serif"/>
          <w:b w:val="false"/>
          <w:i w:val="false"/>
          <w:caps w:val="false"/>
          <w:smallCaps w:val="false"/>
          <w:sz w:val="20"/>
        </w:rPr>
        <w:t>” of the Loan Parties means any and all obligations of the Loan Parties, whether absolute or contingent and howsoever and whensoever created, arising, evidenced or acquired (including all renewals, extensions and modifications thereof and substitutions therefor) in connection with Banking Services. In no event shall the Banking Services Obligations include any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trike/>
          <w:color w:val="FF0000"/>
          <w:sz w:val="20"/>
        </w:rPr>
        <w:t>” means any of the events described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of Default” means a Default specified</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t>
      </w:r>
      <w:r>
        <w:rPr>
          <w:rFonts w:ascii="Times New Roman;Times;Serif" w:hAnsi="Times New Roman;Times;Serif"/>
          <w:b w:val="false"/>
          <w:i w:val="false"/>
          <w:caps w:val="false"/>
          <w:smallCaps w:val="false"/>
          <w:color w:val="0000FF"/>
          <w:sz w:val="20"/>
          <w:u w:val="single"/>
        </w:rPr>
        <w:t xml:space="preserve">with respect to Obligations, interest, fees, commissions or other amounts denominated in, or calculated with respect to, (a) Dollars, </w:t>
      </w:r>
      <w:r>
        <w:rPr>
          <w:rFonts w:ascii="Times New Roman;Times;Serif" w:hAnsi="Times New Roman;Times;Serif"/>
          <w:b w:val="false"/>
          <w:i w:val="false"/>
          <w:caps w:val="false"/>
          <w:smallCaps w:val="false"/>
          <w:sz w:val="20"/>
        </w:rPr>
        <w:t xml:space="preserve">the Term SOFR Reference Rate </w:t>
      </w:r>
      <w:r>
        <w:rPr>
          <w:rFonts w:ascii="Times New Roman;Times;Serif" w:hAnsi="Times New Roman;Times;Serif"/>
          <w:b w:val="false"/>
          <w:i w:val="false"/>
          <w:caps w:val="false"/>
          <w:smallCaps w:val="false"/>
          <w:color w:val="0000FF"/>
          <w:sz w:val="20"/>
          <w:u w:val="single"/>
        </w:rPr>
        <w:t>and (b) Sterling, SONIA</w:t>
      </w:r>
      <w:r>
        <w:rPr>
          <w:rFonts w:ascii="Times New Roman;Times;Serif" w:hAnsi="Times New Roman;Times;Serif"/>
          <w:b w:val="false"/>
          <w:i w:val="false"/>
          <w:caps w:val="false"/>
          <w:smallCaps w:val="false"/>
          <w:sz w:val="20"/>
        </w:rPr>
        <w:t>; provided that if a Benchmark Transition Event has occurred with respect to the Term SOFR Reference Rate</w:t>
      </w:r>
      <w:r>
        <w:rPr>
          <w:rFonts w:ascii="Times New Roman;Times;Serif" w:hAnsi="Times New Roman;Times;Serif"/>
          <w:b w:val="false"/>
          <w:i w:val="false"/>
          <w:caps w:val="false"/>
          <w:smallCaps w:val="false"/>
          <w:color w:val="0000FF"/>
          <w:sz w:val="20"/>
          <w:u w:val="single"/>
        </w:rPr>
        <w:t>, SONIA</w:t>
      </w:r>
      <w:r>
        <w:rPr>
          <w:rFonts w:ascii="Times New Roman;Times;Serif" w:hAnsi="Times New Roman;Times;Serif"/>
          <w:b w:val="false"/>
          <w:i w:val="false"/>
          <w:caps w:val="false"/>
          <w:smallCaps w:val="false"/>
          <w:sz w:val="20"/>
        </w:rPr>
        <w:t xml:space="preserve"> or the then-current Benchmark </w:t>
      </w:r>
      <w:r>
        <w:rPr>
          <w:rFonts w:ascii="Times New Roman;Times;Serif" w:hAnsi="Times New Roman;Times;Serif"/>
          <w:b w:val="false"/>
          <w:i w:val="false"/>
          <w:caps w:val="false"/>
          <w:smallCaps w:val="false"/>
          <w:color w:val="0000FF"/>
          <w:sz w:val="20"/>
          <w:u w:val="single"/>
        </w:rPr>
        <w:t>for any Applicable Currency</w:t>
      </w:r>
      <w:r>
        <w:rPr>
          <w:rFonts w:ascii="Times New Roman;Times;Serif" w:hAnsi="Times New Roman;Times;Serif"/>
          <w:b w:val="false"/>
          <w:i w:val="false"/>
          <w:caps w:val="false"/>
          <w:smallCaps w:val="false"/>
          <w:sz w:val="20"/>
        </w:rPr>
        <w:t xml:space="preserve">,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3.6(c)(i)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means, with respect to any Benchmark Transition Event </w:t>
      </w:r>
      <w:r>
        <w:rPr>
          <w:rFonts w:ascii="Times New Roman;Times;Serif" w:hAnsi="Times New Roman;Times;Serif"/>
          <w:b w:val="false"/>
          <w:i w:val="false"/>
          <w:caps w:val="false"/>
          <w:smallCaps w:val="false"/>
          <w:color w:val="0000FF"/>
          <w:sz w:val="20"/>
          <w:u w:val="single"/>
        </w:rPr>
        <w:t>for any then-current Benchmark</w:t>
      </w:r>
      <w:r>
        <w:rPr>
          <w:rFonts w:ascii="Times New Roman;Times;Serif" w:hAnsi="Times New Roman;Times;Serif"/>
          <w:b w:val="false"/>
          <w:i w:val="false"/>
          <w:caps w:val="false"/>
          <w:smallCaps w:val="false"/>
          <w:sz w:val="20"/>
        </w:rPr>
        <w:t xml:space="preserve">, the sum of: (a) the alternate benchmark rate that has been selected by the Agent and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w:t>
      </w:r>
      <w:r>
        <w:rPr>
          <w:rFonts w:ascii="Times New Roman;Times;Serif" w:hAnsi="Times New Roman;Times;Serif"/>
          <w:b w:val="false"/>
          <w:i w:val="false"/>
          <w:caps w:val="false"/>
          <w:smallCaps w:val="false"/>
          <w:strike/>
          <w:color w:val="FF0000"/>
          <w:sz w:val="20"/>
        </w:rPr>
        <w:t xml:space="preserve">Dollar-denominated </w:t>
      </w:r>
      <w:r>
        <w:rPr>
          <w:rFonts w:ascii="Times New Roman;Times;Serif" w:hAnsi="Times New Roman;Times;Serif"/>
          <w:b w:val="false"/>
          <w:i w:val="false"/>
          <w:caps w:val="false"/>
          <w:smallCaps w:val="false"/>
          <w:sz w:val="20"/>
        </w:rPr>
        <w:t xml:space="preserve">syndicated credit facilities </w:t>
      </w:r>
      <w:r>
        <w:rPr>
          <w:rFonts w:ascii="Times New Roman;Times;Serif" w:hAnsi="Times New Roman;Times;Serif"/>
          <w:b w:val="false"/>
          <w:i w:val="false"/>
          <w:caps w:val="false"/>
          <w:smallCaps w:val="false"/>
          <w:color w:val="0000FF"/>
          <w:sz w:val="20"/>
          <w:u w:val="single"/>
        </w:rPr>
        <w:t xml:space="preserve">denominated in the applicable Currency </w:t>
      </w:r>
      <w:r>
        <w:rPr>
          <w:rFonts w:ascii="Times New Roman;Times;Serif" w:hAnsi="Times New Roman;Times;Serif"/>
          <w:b w:val="false"/>
          <w:i w:val="false"/>
          <w:caps w:val="false"/>
          <w:smallCaps w:val="false"/>
          <w:sz w:val="20"/>
        </w:rPr>
        <w:t xml:space="preserve">and (b) the related Benchmark Replacement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xml:space="preserve">”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Agent and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w:t>
      </w:r>
      <w:r>
        <w:rPr>
          <w:rFonts w:ascii="Times New Roman;Times;Serif" w:hAnsi="Times New Roman;Times;Serif"/>
          <w:b w:val="false"/>
          <w:i w:val="false"/>
          <w:caps w:val="false"/>
          <w:smallCaps w:val="false"/>
          <w:strike/>
          <w:color w:val="FF0000"/>
          <w:sz w:val="20"/>
        </w:rPr>
        <w:t xml:space="preserve">Dollar-denominated </w:t>
      </w:r>
      <w:r>
        <w:rPr>
          <w:rFonts w:ascii="Times New Roman;Times;Serif" w:hAnsi="Times New Roman;Times;Serif"/>
          <w:b w:val="false"/>
          <w:i w:val="false"/>
          <w:caps w:val="false"/>
          <w:smallCaps w:val="false"/>
          <w:sz w:val="20"/>
        </w:rPr>
        <w:t xml:space="preserve">syndicated credit facilities </w:t>
      </w:r>
      <w:r>
        <w:rPr>
          <w:rFonts w:ascii="Times New Roman;Times;Serif" w:hAnsi="Times New Roman;Times;Serif"/>
          <w:b w:val="false"/>
          <w:i w:val="false"/>
          <w:caps w:val="false"/>
          <w:smallCaps w:val="false"/>
          <w:color w:val="0000FF"/>
          <w:sz w:val="20"/>
          <w:u w:val="single"/>
        </w:rPr>
        <w:t>denominated in the applicable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Start Date</w:t>
      </w:r>
      <w:r>
        <w:rPr>
          <w:rFonts w:ascii="Times New Roman;Times;Serif" w:hAnsi="Times New Roman;Times;Serif"/>
          <w:b w:val="false"/>
          <w:i w:val="false"/>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3.6(c)(i)</w:t>
      </w:r>
      <w:r>
        <w:rPr>
          <w:rFonts w:ascii="Times New Roman;Times;Serif" w:hAnsi="Times New Roman;Times;Serif"/>
          <w:b w:val="false"/>
          <w:i w:val="false"/>
          <w:caps w:val="false"/>
          <w:smallCaps w:val="false"/>
          <w:sz w:val="20"/>
        </w:rPr>
        <w:t xml:space="preserve"> and (y) ending at the time that a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3.6(c)(i)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Borrower</w:t>
      </w:r>
      <w:r>
        <w:rPr>
          <w:rFonts w:ascii="Times New Roman;Times;Serif" w:hAnsi="Times New Roman;Times;Serif"/>
          <w:b w:val="false"/>
          <w:i w:val="false"/>
          <w:caps w:val="false"/>
          <w:smallCaps w:val="false"/>
          <w:strike/>
          <w:color w:val="FF0000"/>
          <w:sz w:val="20"/>
        </w:rPr>
        <w:t>” means FIRSTCASH, INC. (f/k/a FIRST CASH FINANCIAL SERVICES,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Borrower Representative” means the US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Borrowers” means, collectively, the US Borrower, the UK Borrowers and any Additional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a date on which an Advance is made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that (a) is not a Saturday, Sunday or other day on which the Federal Reserve Bank of New York is closed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is not a day on which commercial banks in Fort Worth, Texas or Charlotte, North Carolina </w:t>
      </w:r>
      <w:r>
        <w:rPr>
          <w:rFonts w:ascii="Times New Roman;Times;Serif" w:hAnsi="Times New Roman;Times;Serif"/>
          <w:b w:val="false"/>
          <w:i w:val="false"/>
          <w:caps w:val="false"/>
          <w:smallCaps w:val="false"/>
          <w:color w:val="0000FF"/>
          <w:sz w:val="20"/>
          <w:u w:val="single"/>
        </w:rPr>
        <w:t xml:space="preserve">or London, United Kingdom </w:t>
      </w:r>
      <w:r>
        <w:rPr>
          <w:rFonts w:ascii="Times New Roman;Times;Serif" w:hAnsi="Times New Roman;Times;Serif"/>
          <w:b w:val="false"/>
          <w:i w:val="false"/>
          <w:caps w:val="false"/>
          <w:smallCaps w:val="false"/>
          <w:sz w:val="20"/>
        </w:rPr>
        <w:t xml:space="preserve">are closed </w:t>
      </w:r>
      <w:r>
        <w:rPr>
          <w:rFonts w:ascii="Times New Roman;Times;Serif" w:hAnsi="Times New Roman;Times;Serif"/>
          <w:b w:val="false"/>
          <w:i w:val="false"/>
          <w:caps w:val="false"/>
          <w:smallCaps w:val="false"/>
          <w:color w:val="0000FF"/>
          <w:sz w:val="20"/>
          <w:u w:val="single"/>
        </w:rPr>
        <w:t>and (c) when used in connection with Sterling or an Alternative Currency RFR Advance, is an RFR Business Day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Cancelled Certificate” means any QPP Certificate in respect of which HM Revenue &amp; Customs has given a notification under regulation 7(4)(b) of the QPP Regulations so that such QPP Certificate is a cancelled certificate for the purposes of the QPP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w:t>
      </w:r>
      <w:r>
        <w:rPr>
          <w:rFonts w:ascii="Times New Roman;Times;Serif" w:hAnsi="Times New Roman;Times;Serif"/>
          <w:b w:val="false"/>
          <w:i w:val="false"/>
          <w:caps w:val="false"/>
          <w:smallCaps w:val="false"/>
          <w:sz w:val="20"/>
        </w:rPr>
        <w:t xml:space="preserve">” of a Person means any lease of Property by such Person as lessee which would be capitalized on a balance sheet of such Person prepared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 no event will any lease that would have been categorized as an operating lease as determined in accordance with GAAP </w:t>
      </w:r>
      <w:r>
        <w:rPr>
          <w:rFonts w:ascii="Times New Roman;Times;Serif" w:hAnsi="Times New Roman;Times;Serif"/>
          <w:b w:val="false"/>
          <w:i w:val="false"/>
          <w:caps w:val="false"/>
          <w:smallCaps w:val="false"/>
          <w:strike/>
          <w:color w:val="FF0000"/>
          <w:sz w:val="20"/>
        </w:rPr>
        <w:t>on</w:t>
      </w:r>
      <w:r>
        <w:rPr>
          <w:rFonts w:ascii="Times New Roman;Times;Serif" w:hAnsi="Times New Roman;Times;Serif"/>
          <w:b w:val="false"/>
          <w:i w:val="false"/>
          <w:caps w:val="false"/>
          <w:smallCaps w:val="false"/>
          <w:color w:val="0000FF"/>
          <w:sz w:val="20"/>
          <w:u w:val="single"/>
        </w:rPr>
        <w:t>, as of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date hereof</w:t>
      </w:r>
      <w:r>
        <w:rPr>
          <w:rFonts w:ascii="Times New Roman;Times;Serif" w:hAnsi="Times New Roman;Times;Serif"/>
          <w:b w:val="false"/>
          <w:i w:val="false"/>
          <w:caps w:val="false"/>
          <w:smallCaps w:val="false"/>
          <w:color w:val="0000FF"/>
          <w:sz w:val="20"/>
          <w:u w:val="single"/>
        </w:rPr>
        <w:t>Effective Date,</w:t>
      </w:r>
      <w:r>
        <w:rPr>
          <w:rFonts w:ascii="Times New Roman;Times;Serif" w:hAnsi="Times New Roman;Times;Serif"/>
          <w:b w:val="false"/>
          <w:i w:val="false"/>
          <w:caps w:val="false"/>
          <w:smallCaps w:val="false"/>
          <w:sz w:val="20"/>
        </w:rPr>
        <w:t xml:space="preserve"> be considered a Capitalized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Obligations</w:t>
      </w:r>
      <w:r>
        <w:rPr>
          <w:rFonts w:ascii="Times New Roman;Times;Serif" w:hAnsi="Times New Roman;Times;Serif"/>
          <w:b w:val="false"/>
          <w:i w:val="false"/>
          <w:caps w:val="false"/>
          <w:smallCaps w:val="false"/>
          <w:sz w:val="20"/>
        </w:rPr>
        <w:t>” of a Person means the amount of the obligations of such Person under Capitalized Leases which would be shown as a liability on a balance sheet of such Person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America</w:t>
      </w:r>
      <w:r>
        <w:rPr>
          <w:rFonts w:ascii="Times New Roman;Times;Serif" w:hAnsi="Times New Roman;Times;Serif"/>
          <w:b w:val="false"/>
          <w:i w:val="false"/>
          <w:caps w:val="false"/>
          <w:smallCaps w:val="false"/>
          <w:sz w:val="20"/>
        </w:rPr>
        <w:t xml:space="preserve">” means Cash America International, Inc., a Texas corporation and, as of the Closing Date, a wholly-owned Subsidiary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xml:space="preserve">” means, to pledge and deposit with, or deliver to the Agent, or directly to the applicable L/C Issuer </w:t>
      </w:r>
      <w:r>
        <w:rPr>
          <w:rFonts w:ascii="Times New Roman;Times;Serif" w:hAnsi="Times New Roman;Times;Serif"/>
          <w:b w:val="false"/>
          <w:i w:val="false"/>
          <w:caps w:val="false"/>
          <w:smallCaps w:val="false"/>
          <w:color w:val="0000FF"/>
          <w:sz w:val="20"/>
          <w:u w:val="single"/>
        </w:rPr>
        <w:t xml:space="preserve">or Swingline Lender </w:t>
      </w:r>
      <w:r>
        <w:rPr>
          <w:rFonts w:ascii="Times New Roman;Times;Serif" w:hAnsi="Times New Roman;Times;Serif"/>
          <w:b w:val="false"/>
          <w:i w:val="false"/>
          <w:caps w:val="false"/>
          <w:smallCaps w:val="false"/>
          <w:sz w:val="20"/>
        </w:rPr>
        <w:t xml:space="preserve">(with notice thereof to the Agent), for the benefit of one or more of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L/C Issuers</w:t>
      </w:r>
      <w:r>
        <w:rPr>
          <w:rFonts w:ascii="Times New Roman;Times;Serif" w:hAnsi="Times New Roman;Times;Serif"/>
          <w:b w:val="false"/>
          <w:i w:val="false"/>
          <w:caps w:val="false"/>
          <w:smallCaps w:val="false"/>
          <w:color w:val="0000FF"/>
          <w:sz w:val="20"/>
          <w:u w:val="single"/>
        </w:rPr>
        <w:t>, the Swingline Lenders</w:t>
      </w:r>
      <w:r>
        <w:rPr>
          <w:rFonts w:ascii="Times New Roman;Times;Serif" w:hAnsi="Times New Roman;Times;Serif"/>
          <w:b w:val="false"/>
          <w:i w:val="false"/>
          <w:caps w:val="false"/>
          <w:smallCaps w:val="false"/>
          <w:sz w:val="20"/>
        </w:rPr>
        <w:t xml:space="preserve"> or the Lenders, as collateral for L/C Obligations</w:t>
      </w:r>
      <w:r>
        <w:rPr>
          <w:rFonts w:ascii="Times New Roman;Times;Serif" w:hAnsi="Times New Roman;Times;Serif"/>
          <w:b w:val="false"/>
          <w:i w:val="false"/>
          <w:caps w:val="false"/>
          <w:smallCaps w:val="false"/>
          <w:color w:val="0000FF"/>
          <w:sz w:val="20"/>
          <w:u w:val="single"/>
        </w:rPr>
        <w:t>, Swingline Loans</w:t>
      </w:r>
      <w:r>
        <w:rPr>
          <w:rFonts w:ascii="Times New Roman;Times;Serif" w:hAnsi="Times New Roman;Times;Serif"/>
          <w:b w:val="false"/>
          <w:i w:val="false"/>
          <w:caps w:val="false"/>
          <w:smallCaps w:val="false"/>
          <w:sz w:val="20"/>
        </w:rPr>
        <w:t xml:space="preserve"> or obligations of the Lenders to fund participations in respect of L/C Obligations </w:t>
      </w:r>
      <w:r>
        <w:rPr>
          <w:rFonts w:ascii="Times New Roman;Times;Serif" w:hAnsi="Times New Roman;Times;Serif"/>
          <w:b w:val="false"/>
          <w:i w:val="false"/>
          <w:caps w:val="false"/>
          <w:smallCaps w:val="false"/>
          <w:color w:val="0000FF"/>
          <w:sz w:val="20"/>
          <w:u w:val="single"/>
        </w:rPr>
        <w:t>or Swingline Loans</w:t>
      </w:r>
      <w:r>
        <w:rPr>
          <w:rFonts w:ascii="Times New Roman;Times;Serif" w:hAnsi="Times New Roman;Times;Serif"/>
          <w:b w:val="false"/>
          <w:i w:val="false"/>
          <w:caps w:val="false"/>
          <w:smallCaps w:val="false"/>
          <w:sz w:val="20"/>
        </w:rPr>
        <w:t xml:space="preserve">, cash or deposit account balances or, if the Agent and the applicable L/C Issuer </w:t>
      </w:r>
      <w:r>
        <w:rPr>
          <w:rFonts w:ascii="Times New Roman;Times;Serif" w:hAnsi="Times New Roman;Times;Serif"/>
          <w:b w:val="false"/>
          <w:i w:val="false"/>
          <w:caps w:val="false"/>
          <w:smallCaps w:val="false"/>
          <w:color w:val="0000FF"/>
          <w:sz w:val="20"/>
          <w:u w:val="single"/>
        </w:rPr>
        <w:t xml:space="preserve">or Swingline Lender </w:t>
      </w:r>
      <w:r>
        <w:rPr>
          <w:rFonts w:ascii="Times New Roman;Times;Serif" w:hAnsi="Times New Roman;Times;Serif"/>
          <w:b w:val="false"/>
          <w:i w:val="false"/>
          <w:caps w:val="false"/>
          <w:smallCaps w:val="false"/>
          <w:sz w:val="20"/>
        </w:rPr>
        <w:t xml:space="preserve">shall agree, in their sole discretion, other credit support, in each case pursuant to documentation in form and substance satisfactory to the Agent and such L/C Issuer </w:t>
      </w:r>
      <w:r>
        <w:rPr>
          <w:rFonts w:ascii="Times New Roman;Times;Serif" w:hAnsi="Times New Roman;Times;Serif"/>
          <w:b w:val="false"/>
          <w:i w:val="false"/>
          <w:caps w:val="false"/>
          <w:smallCaps w:val="false"/>
          <w:color w:val="0000FF"/>
          <w:sz w:val="20"/>
          <w:u w:val="single"/>
        </w:rPr>
        <w:t>or Swingline Lender, as applicable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 Investments</w:t>
      </w:r>
      <w:r>
        <w:rPr>
          <w:rFonts w:ascii="Times New Roman;Times;Serif" w:hAnsi="Times New Roman;Times;Serif"/>
          <w:b w:val="false"/>
          <w:i w:val="false"/>
          <w:caps w:val="false"/>
          <w:smallCaps w:val="false"/>
          <w:sz w:val="20"/>
        </w:rPr>
        <w:t xml:space="preserve">” means (a) United States Dollar denominated time deposits and certificates of deposit of (i) any Lender, or (ii) any bank (other than the Lenders) whose short-term commercial paper rating from S&amp;P is at least A-1 or the equivalent thereof or from Moody’s is at least P-1 or the equivalent thereof, in each case with maturities of not more than one (1) year from the date of acquisition, (b) investments, classified in accordance with GAAP as current assets in money market investment programs registered under and in compliance with the Investment Company Act of 1940, which are administered by reputable financial institutions having capital of at least $100,000,000.00 </w:t>
      </w:r>
      <w:r>
        <w:rPr>
          <w:rFonts w:ascii="Times New Roman;Times;Serif" w:hAnsi="Times New Roman;Times;Serif"/>
          <w:b w:val="false"/>
          <w:i w:val="false"/>
          <w:caps w:val="false"/>
          <w:smallCaps w:val="false"/>
          <w:color w:val="0000FF"/>
          <w:sz w:val="20"/>
          <w:u w:val="single"/>
        </w:rPr>
        <w:t>(or the Alternative Currency Equivalent thereof)</w:t>
      </w:r>
      <w:r>
        <w:rPr>
          <w:rFonts w:ascii="Times New Roman;Times;Serif" w:hAnsi="Times New Roman;Times;Serif"/>
          <w:b w:val="false"/>
          <w:i w:val="false"/>
          <w:caps w:val="false"/>
          <w:smallCaps w:val="false"/>
          <w:sz w:val="20"/>
        </w:rPr>
        <w:t xml:space="preserve">, (c) mutual funds, administered by reputable financial institutions having capital of at least $100,000,000.00 </w:t>
      </w:r>
      <w:r>
        <w:rPr>
          <w:rFonts w:ascii="Times New Roman;Times;Serif" w:hAnsi="Times New Roman;Times;Serif"/>
          <w:b w:val="false"/>
          <w:i w:val="false"/>
          <w:caps w:val="false"/>
          <w:smallCaps w:val="false"/>
          <w:color w:val="0000FF"/>
          <w:sz w:val="20"/>
          <w:u w:val="single"/>
        </w:rPr>
        <w:t xml:space="preserve">(or the Alternative Currency Equivalent thereof), </w:t>
      </w:r>
      <w:r>
        <w:rPr>
          <w:rFonts w:ascii="Times New Roman;Times;Serif" w:hAnsi="Times New Roman;Times;Serif"/>
          <w:b w:val="false"/>
          <w:i w:val="false"/>
          <w:caps w:val="false"/>
          <w:smallCaps w:val="false"/>
          <w:sz w:val="20"/>
        </w:rPr>
        <w:t>and registered under and in compliance with the Investment Company Act of 1940, that invest in and direct investments in obligations of any state of the United States or any political subdivision thereof or municipality thereof the interest with respect to which is exempt from federal income taxation under Section 103 of the Code and rated A-1 or higher, or AA or higher by Standard and Poor’s Corporation, or P-1 or higher, or Aa or higher by Moody’s Investors Services, and (d) auction rate floaters and similar short term (one (1) to sixty (60) day maturities) gilt edge investments in pools of bonds whose income is exempt from federal taxation, which are issued by entities that are rated in the highest rating category of Standard and Poor’s Corporation and/or Moody’s Investors Service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 (e) in the case of investments made by any Foreign Loan Party, (i) time deposits and certificates of deposit of the type described in clause (a) above, except that such investments may be denominated in Sterling or another lawful currency of the jurisdiction of organization (or incorporation (as applicable)) of such Foreign Loan Party in lieu of United States Dollars, and the issuing bank may be organized (or incorporated (as applicable)) under the laws of any Approved Jurisdiction, and (ii) investments of the type described in clause (b) above, except that such investments may be administered by reputable financial institutions organized (or incorporated) under the laws of any Approved Jurisdiction and registered under and in compliance with a regulatory regime substantially equivalent to the Investment Company Act of 1940 (including, in the case of the United Kingdom, an undertaking for collective investment in transferable securities authorized under the Financial Services and Markets Act 2000 (UK) and regulated by the Financial Conduct Authority), in each case, with ratings described in clause (a) or (b) above, as applicable, or equivalent ratings comparable rating agencies recognized in the jurisdiction of organization (or incorporation) of such Foreign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 Floating Rate</w:t>
      </w:r>
      <w:r>
        <w:rPr>
          <w:rFonts w:ascii="Times New Roman;Times;Serif" w:hAnsi="Times New Roman;Times;Serif"/>
          <w:b w:val="false"/>
          <w:i w:val="false"/>
          <w:caps w:val="false"/>
          <w:smallCaps w:val="false"/>
          <w:sz w:val="20"/>
        </w:rPr>
        <w:t xml:space="preserve">” means, as of any date of determination, a rate per annum equal to the greater of (a) the Prime Rate in effect on such day or (b) the Federal Funds Effective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1/2 of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CB Floating Rate shall never be less than the sum of Adjusted Term SOFR for a one-month Interest Period on such day (or if such day is not a Business Day, the immediately preceding Business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1.00%. Any change in the CB Floating Rate due to a change in the Prime Rate or Adjusted Term SOFR shall be effective from and including the effective date of such change in the Prime Rate or Adjusted Term SOFR,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 Floating Rate Advance</w:t>
      </w:r>
      <w:r>
        <w:rPr>
          <w:rFonts w:ascii="Times New Roman;Times;Serif" w:hAnsi="Times New Roman;Times;Serif"/>
          <w:b w:val="false"/>
          <w:i w:val="false"/>
          <w:caps w:val="false"/>
          <w:smallCaps w:val="false"/>
          <w:sz w:val="20"/>
        </w:rPr>
        <w:t>” means any Advance when and to the extent that its interest rate is determined by reference to the CB Floating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Currency” means Dollars or any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w:t>
      </w:r>
      <w:r>
        <w:rPr>
          <w:rFonts w:ascii="Times New Roman;Times;Serif" w:hAnsi="Times New Roman;Times;Serif"/>
          <w:b w:val="false"/>
          <w:i w:val="false"/>
          <w:caps w:val="false"/>
          <w:smallCaps w:val="false"/>
          <w:strike/>
          <w:color w:val="FF0000"/>
          <w:sz w:val="20"/>
        </w:rPr>
        <w:t xml:space="preserve">, with respect to the Borrower, </w:t>
      </w:r>
      <w:r>
        <w:rPr>
          <w:rFonts w:ascii="Times New Roman;Times;Serif" w:hAnsi="Times New Roman;Times;Serif"/>
          <w:b w:val="false"/>
          <w:i w:val="false"/>
          <w:caps w:val="false"/>
          <w:smallCaps w:val="false"/>
          <w:sz w:val="20"/>
        </w:rPr>
        <w:t>an event or series of events by which (a) any “person” or “group” (as such terms are used in Sections 13(d) and 14(d) of the Securities Exchange Act of 1934) becomes the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xml:space="preserve">” (as defined in Rules 13d-3 and 13d-5 under the Securities Exchange Act of 1934), directly or indirectly, of thirty-five percent (35%) or more of the voting stock of Holdings, (b) at any time, Holdings shall fail to own one hundred percent (100%) of the Equity Interests of the </w:t>
      </w:r>
      <w:r>
        <w:rPr>
          <w:rFonts w:ascii="Times New Roman;Times;Serif" w:hAnsi="Times New Roman;Times;Serif"/>
          <w:b w:val="false"/>
          <w:i w:val="false"/>
          <w:caps w:val="false"/>
          <w:smallCaps w:val="false"/>
          <w:strike/>
          <w:color w:val="FF0000"/>
          <w:sz w:val="20"/>
        </w:rPr>
        <w:t>Borrower or (c)</w:t>
      </w:r>
      <w:r>
        <w:rPr>
          <w:rFonts w:ascii="Times New Roman;Times;Serif" w:hAnsi="Times New Roman;Times;Serif"/>
          <w:b w:val="false"/>
          <w:i w:val="false"/>
          <w:caps w:val="false"/>
          <w:smallCaps w:val="false"/>
          <w:color w:val="0000FF"/>
          <w:sz w:val="20"/>
          <w:u w:val="single"/>
        </w:rPr>
        <w:t>US Borrower, (c) US Borrower shall fail to own, directly or indirectly, one hundred percent (100%) of the Equity Interests in each of the UK Borrowers (except as a result of a transaction permitted pursuant to Section 6.12 hereof) or (d)</w:t>
      </w:r>
      <w:r>
        <w:rPr>
          <w:rFonts w:ascii="Times New Roman;Times;Serif" w:hAnsi="Times New Roman;Times;Serif"/>
          <w:b w:val="false"/>
          <w:i w:val="false"/>
          <w:caps w:val="false"/>
          <w:smallCaps w:val="false"/>
          <w:sz w:val="20"/>
        </w:rPr>
        <w:t xml:space="preserve"> during any period of twelve (12) consecutive months, a majority of the members of the board of directors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 xml:space="preserve">Borrower cease to be composed of individuals (i) who were members of such board on the first (1st) day of such period, (ii) whose election or nomination to such board was approved by individuals referred to in </w:t>
      </w:r>
      <w:r>
        <w:rPr>
          <w:rFonts w:ascii="Times New Roman;Times;Serif" w:hAnsi="Times New Roman;Times;Serif"/>
          <w:b w:val="false"/>
          <w:i w:val="false"/>
          <w:caps w:val="false"/>
          <w:smallCaps w:val="false"/>
          <w:sz w:val="20"/>
          <w:u w:val="single"/>
        </w:rPr>
        <w:t>subsection (i)</w:t>
      </w:r>
      <w:r>
        <w:rPr>
          <w:rFonts w:ascii="Times New Roman;Times;Serif" w:hAnsi="Times New Roman;Times;Serif"/>
          <w:b w:val="false"/>
          <w:i w:val="false"/>
          <w:caps w:val="false"/>
          <w:smallCaps w:val="false"/>
          <w:sz w:val="20"/>
        </w:rPr>
        <w:t xml:space="preserve"> above constituting at the time of such election or nomination at least a majority of such board, or (iii) whose election or nomination to such board was approved by individuals referred to in </w:t>
      </w:r>
      <w:r>
        <w:rPr>
          <w:rFonts w:ascii="Times New Roman;Times;Serif" w:hAnsi="Times New Roman;Times;Serif"/>
          <w:b w:val="false"/>
          <w:i w:val="false"/>
          <w:caps w:val="false"/>
          <w:smallCaps w:val="false"/>
          <w:sz w:val="20"/>
          <w:u w:val="single"/>
        </w:rPr>
        <w:t>subsections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constituting at the time of such election or nomination at least a majority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Effective Date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arising under </w:t>
      </w:r>
      <w:r>
        <w:rPr>
          <w:rFonts w:ascii="Times New Roman;Times;Serif" w:hAnsi="Times New Roman;Times;Serif"/>
          <w:b w:val="false"/>
          <w:i w:val="false"/>
          <w:caps w:val="false"/>
          <w:smallCaps w:val="false"/>
          <w:sz w:val="20"/>
          <w:u w:val="single"/>
        </w:rPr>
        <w:t>clauses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Chess Bidco” means Chess Bidco Limited, a company incorporated under the laws of England and Wales with company number 16434757.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Chess Holdco” means Chess Holdco Limited, a company incorporated under the laws of England and Wales with company number 16434482.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means the date on which the conditions set forth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Stock Payment</w:t>
      </w:r>
      <w:r>
        <w:rPr>
          <w:rFonts w:ascii="Times New Roman;Times;Serif" w:hAnsi="Times New Roman;Times;Serif"/>
          <w:b w:val="false"/>
          <w:i w:val="false"/>
          <w:caps w:val="false"/>
          <w:smallCaps w:val="false"/>
          <w:sz w:val="20"/>
        </w:rPr>
        <w:t>” means certain one-time cash settlement payments on the Closing Date to the holders of the Restricted Stock Unit Awards in accordance with the terms of Section 3.3(a) of the Merger Agreement as in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xml:space="preserve">” means, for each Lender, the obligation of such Lender to make Loans </w:t>
      </w:r>
      <w:r>
        <w:rPr>
          <w:rFonts w:ascii="Times New Roman;Times;Serif" w:hAnsi="Times New Roman;Times;Serif"/>
          <w:b w:val="false"/>
          <w:i w:val="false"/>
          <w:caps w:val="false"/>
          <w:smallCaps w:val="false"/>
          <w:color w:val="0000FF"/>
          <w:sz w:val="20"/>
          <w:u w:val="single"/>
        </w:rPr>
        <w:t xml:space="preserve">(other than Swingline Loans) and to acquire participations in L/C Obligations and Swingline Loans </w:t>
      </w:r>
      <w:r>
        <w:rPr>
          <w:rFonts w:ascii="Times New Roman;Times;Serif" w:hAnsi="Times New Roman;Times;Serif"/>
          <w:b w:val="false"/>
          <w:i w:val="false"/>
          <w:caps w:val="false"/>
          <w:smallCaps w:val="false"/>
          <w:sz w:val="20"/>
        </w:rPr>
        <w:t xml:space="preserve">not exceeding the amount set forth in </w:t>
      </w:r>
      <w:r>
        <w:rPr>
          <w:rFonts w:ascii="Times New Roman;Times;Serif" w:hAnsi="Times New Roman;Times;Serif"/>
          <w:b w:val="false"/>
          <w:i w:val="false"/>
          <w:caps w:val="false"/>
          <w:smallCaps w:val="false"/>
          <w:color w:val="0000FF"/>
          <w:sz w:val="20"/>
          <w:u w:val="single"/>
        </w:rPr>
        <w:t xml:space="preserve">the most recent Commitment </w:t>
      </w: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trike/>
          <w:color w:val="FF0000"/>
          <w:sz w:val="20"/>
          <w:u w:val="single"/>
        </w:rPr>
        <w:t>3</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as such amount may be modified from time to time pursuant to the terms hereof</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For each Alternative Currency Lender, each applicable Lender’s Alternative Currency Commitment is part of, and not in addition to, such Lender’s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Committed Funded Exposure</w:t>
      </w:r>
      <w:r>
        <w:rPr>
          <w:rFonts w:ascii="Times New Roman;Times;Serif" w:hAnsi="Times New Roman;Times;Serif"/>
          <w:b w:val="false"/>
          <w:i w:val="false"/>
          <w:caps w:val="false"/>
          <w:smallCaps w:val="false"/>
          <w:sz w:val="20"/>
        </w:rPr>
        <w:t xml:space="preserve">” means, as to any Lender at any time, the </w:t>
      </w:r>
      <w:r>
        <w:rPr>
          <w:rFonts w:ascii="Times New Roman;Times;Serif" w:hAnsi="Times New Roman;Times;Serif"/>
          <w:b w:val="false"/>
          <w:i w:val="false"/>
          <w:caps w:val="false"/>
          <w:smallCaps w:val="false"/>
          <w:color w:val="0000FF"/>
          <w:sz w:val="20"/>
          <w:u w:val="single"/>
        </w:rPr>
        <w:t xml:space="preserve">sum of (a) the </w:t>
      </w:r>
      <w:r>
        <w:rPr>
          <w:rFonts w:ascii="Times New Roman;Times;Serif" w:hAnsi="Times New Roman;Times;Serif"/>
          <w:b w:val="false"/>
          <w:i w:val="false"/>
          <w:caps w:val="false"/>
          <w:smallCaps w:val="false"/>
          <w:sz w:val="20"/>
        </w:rPr>
        <w:t xml:space="preserve">aggregate principal amount at such time of its outstanding Loans </w:t>
      </w:r>
      <w:r>
        <w:rPr>
          <w:rFonts w:ascii="Times New Roman;Times;Serif" w:hAnsi="Times New Roman;Times;Serif"/>
          <w:b w:val="false"/>
          <w:i w:val="false"/>
          <w:caps w:val="false"/>
          <w:smallCaps w:val="false"/>
          <w:color w:val="0000FF"/>
          <w:sz w:val="20"/>
          <w:u w:val="single"/>
        </w:rPr>
        <w:t xml:space="preserve">denominated in Dollars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0000FF"/>
          <w:sz w:val="20"/>
          <w:u w:val="single"/>
        </w:rPr>
        <w:t xml:space="preserve">its </w:t>
      </w:r>
      <w:r>
        <w:rPr>
          <w:rFonts w:ascii="Times New Roman;Times;Serif" w:hAnsi="Times New Roman;Times;Serif"/>
          <w:b w:val="false"/>
          <w:i w:val="false"/>
          <w:caps w:val="false"/>
          <w:smallCaps w:val="false"/>
          <w:sz w:val="20"/>
        </w:rPr>
        <w:t xml:space="preserve">Pro Rata Share of L/C Obligations </w:t>
      </w:r>
      <w:r>
        <w:rPr>
          <w:rFonts w:ascii="Times New Roman;Times;Serif" w:hAnsi="Times New Roman;Times;Serif"/>
          <w:b w:val="false"/>
          <w:i w:val="false"/>
          <w:caps w:val="false"/>
          <w:smallCaps w:val="false"/>
          <w:color w:val="0000FF"/>
          <w:sz w:val="20"/>
          <w:u w:val="single"/>
        </w:rPr>
        <w:t xml:space="preserve">denominated in Dollars and Swingline Loans at such time and (b) if such Lender is an Alternative Currency Lender, its Alternative Currency Exposure </w:t>
      </w:r>
      <w:r>
        <w:rPr>
          <w:rFonts w:ascii="Times New Roman;Times;Serif" w:hAnsi="Times New Roman;Times;Serif"/>
          <w:b w:val="false"/>
          <w:i w:val="false"/>
          <w:caps w:val="false"/>
          <w:smallCaps w:val="false"/>
          <w:sz w:val="20"/>
        </w:rPr>
        <w:t>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Commitment Schedule” means Schedule 3 hereto, as updated from time to time in accordance with the terms hereof. For the avoidance of doubt, as of the Tenth Amendment Effective Date, the most recent version of the Commitment Schedule is the version attached as Annex B to the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“CB Floating Rate,” the definition of “Business Day,” the definition of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for any period, an amount determined for the Loan Parties and their Subsidiaries on a consolidated basis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w:t>
      </w:r>
      <w:r>
        <w:rPr>
          <w:rFonts w:ascii="Times New Roman;Times;Serif" w:hAnsi="Times New Roman;Times;Serif"/>
          <w:b w:val="false"/>
          <w:i/>
          <w:caps w:val="false"/>
          <w:smallCaps w:val="false"/>
          <w:sz w:val="20"/>
          <w:u w:val="single"/>
        </w:rPr>
        <w:t>sum</w:t>
      </w:r>
      <w:r>
        <w:rPr>
          <w:rFonts w:ascii="Times New Roman;Times;Serif" w:hAnsi="Times New Roman;Times;Serif"/>
          <w:b w:val="false"/>
          <w:i w:val="false"/>
          <w:caps w:val="false"/>
          <w:smallCaps w:val="false"/>
          <w:sz w:val="20"/>
        </w:rPr>
        <w:t>, without duplication, of the amounts for such period (to the extent deducted in determining Consolidated Net Income)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expense for taxes, including federal, foreign, state, local, franchise, excise and similar taxes paid or accrued during such period (including in respect of repatriated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depreciation and amortization, including amortization or charge-off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out-of-pocket fees or expenses, losses or charges (other than depreciation or amortization expense) related to any issuance, Investment, Acquisition, disposition, conveyance or recapitalization or the incurrence or repayment of Indebtedness (including a refinancing or amendment, waiver or modification thereof), in each case, permitted under this Agreement (including any such transaction consummated prior to or after the Closing Date and any such transaction undertaken whether or not successful) in an aggregate amount not to exceed $30,000,000 in any four (4) fiscal 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out-of-pocket fees or expenses payable upon the consummation of issuances of Additional Unsecured Senior Debt in an aggregate amount not to exceed $20,000,000;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unusual or non-recurring charges in connection with employee severance, lease terminations and lease buyouts related to closure or consolidation of stores and write-off of assets related to permitted asset sales, acquisitions, investments, restructurings and dispositions conducted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non-recurring, non-cash charges, non-cash expenses, non-cash losses reducing Consolidated Net Income (excluding any non-cash charge that results in an accrual of or reserve for cash charges in any future period) but including, on a one-time basis, the impact relating to the implementation of the current expected credit losses methodology for credit losses accounting established under ASU 2016-13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losses on sales or dispositions of assets outside the ordinary course of business (including, for the avoidance of doubt, the Enova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transaction fees, costs and expenses incurred to the extent actually reimbursed by third parties pursuant to indemnification provisions or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proceeds of business interruption insurance in an amount representing the losses for the applicable period that such proceeds are intended to replace;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Non-Cash Compensation Expenses arising from the issuance of Equity Interests, options to purchase Equity Interests and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non-cash loss from the early extinguishment of hedging obligations or 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non-recurring expenses incurred with respect to litigation settlements;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director fees, expense reimbursements and indemnification payments paid to directors and board observers;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non-recurring restructuring charges or reserves and business optimization expense, including any restructuring costs and integration costs, cost-savings initiatives, retention charges, contract termination costs, retention, recruiting, relocation, severance and signing bonuses and expenses, costs and expenses relating to out-placement services, future lease commitments, systems establishment costs, conversion costs and excess pension charges, consulting fees and one-time costs and expenses relating to the AFF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expected cost savings, operating expense reductions, restructuring charges and expenses and synergies as a result of permitted asset sales, acquisitions, investments, dispositions, operating improvements, restructurings, cost savings initiatives and specified transactions taken or to be taken by the Loan Parties and their Subsidiaries, net of the amount of actual benefits realized during such period from such 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cost savings, operating expense reductions, restructuring charges and expenses and synergies shall be reasonably identifiable and factually supportable and shall be reasonably anticipated to be realized within twenty-four (24) months after the applicable permitted asset sale, acquisition, investment, disposition, operating improvement, restructuring, cost savings initiative or specified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expenses, charges and fees deducted during the specified period and covered by indemnification or purchase price adjustments and earn-out payments in connection with any Permitted Acquisition, to the extent actually received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losses deducted during the specified period, but for which indemnity recovery is actually received in cash during such period or reasonably expected to be received within 365 days after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expenses deducted during the specified period and reimbursed by third parties to the extent such reimbursements are actually received in cash during such period or reasonably expected to be received in cash within 365 days after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change in fair value of the earn-out obligations associated with the AFF Acquisition, to the extent accounted for as an expense,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the amount of loss on a sale of receivables and related assets to a Securitization Subsidiary in connection with a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aggregate amount added back to Consolidated EBITDA pursuant to clauses (xv) and (xvi) for any measurement period shall not exceed 25% of Consolidated EBITDA for such measurement period (calculated prior to giving effect to any such adjustment pursuant to such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non-cash items and gains on sales or dispositions of assets outside the ordinary course of business added in the calculation of Consolidated Net Income (other than (x) any such non-cash item to the extent it will result in the receipt of cash payments in any future period or in respect of which cash was received in a prior period or (y) which represent the reversal of any accrual of, or cash reserve for, anticipated cash charges in any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Funded Indebtedness</w:t>
      </w:r>
      <w:r>
        <w:rPr>
          <w:rFonts w:ascii="Times New Roman;Times;Serif" w:hAnsi="Times New Roman;Times;Serif"/>
          <w:b w:val="false"/>
          <w:i w:val="false"/>
          <w:caps w:val="false"/>
          <w:smallCaps w:val="false"/>
          <w:sz w:val="20"/>
        </w:rPr>
        <w:t xml:space="preserve">” means, as of any date of determination, the aggregate dollar amount of Consolidated Indebtedness as of such date, whether or not such amount is due or payable at such time. For purposes of this definition, the term “Indebtedness” shall include the Revolving Principal Balance but </w:t>
      </w:r>
      <w:r>
        <w:rPr>
          <w:rFonts w:ascii="Times New Roman;Times;Serif" w:hAnsi="Times New Roman;Times;Serif"/>
          <w:b w:val="false"/>
          <w:i w:val="false"/>
          <w:caps w:val="false"/>
          <w:smallCaps w:val="false"/>
          <w:sz w:val="20"/>
          <w:u w:val="single"/>
        </w:rPr>
        <w:t>exclude</w:t>
      </w:r>
      <w:r>
        <w:rPr>
          <w:rFonts w:ascii="Times New Roman;Times;Serif" w:hAnsi="Times New Roman;Times;Serif"/>
          <w:b w:val="false"/>
          <w:i w:val="false"/>
          <w:caps w:val="false"/>
          <w:smallCaps w:val="false"/>
          <w:sz w:val="20"/>
        </w:rPr>
        <w:t xml:space="preserve"> Indebtedness described in </w:t>
      </w:r>
      <w:r>
        <w:rPr>
          <w:rFonts w:ascii="Times New Roman;Times;Serif" w:hAnsi="Times New Roman;Times;Serif"/>
          <w:b w:val="false"/>
          <w:i w:val="false"/>
          <w:caps w:val="false"/>
          <w:smallCaps w:val="false"/>
          <w:sz w:val="20"/>
          <w:u w:val="single"/>
        </w:rPr>
        <w:t>subsections (e)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in the below definition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Indebtedness</w:t>
      </w:r>
      <w:r>
        <w:rPr>
          <w:rFonts w:ascii="Times New Roman;Times;Serif" w:hAnsi="Times New Roman;Times;Serif"/>
          <w:b w:val="false"/>
          <w:i w:val="false"/>
          <w:caps w:val="false"/>
          <w:smallCaps w:val="false"/>
          <w:sz w:val="20"/>
        </w:rPr>
        <w:t>” means, at the time in question, the Indebtedness of the Loan Parties and their Subsidiaries calculated on a consolidated basis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xml:space="preserve">” means, as of any date of determination for the four (4) consecutive fiscal quarter period ending on such date, all interest expense (excluding amortization of debt discount and premium, but including the interest component under Capitalized Leases and synthetic leases, non-cash interest, tax retention operating leases, off-balance sheet loans and similar off-balance sheet financing products;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commissions, discounts, yield and other fees and charges (including any interest expense) related to any Permitted Receivables Financing shall be excluded) for such period of the Loan Parties and their Subsidiaries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with reference to any period, the net income (or loss) of the Loan Parties and their Subsidiaries calculated on a consolidated basis for such period, excluding (a) any income (or loss) of any Person (other than a Subsidiary of a Loan Party) in which any other Person (other than the Loan Parties or any of their Subsidiaries) has a joint interest, except to the extent of the amount of dividends or other distributions actually paid to the Loan Parties or any of their Subsidiaries by such Person during such period, (b) the income (or loss) of any Person accrued prior to the date it becomes a Subsidiary of the </w:t>
      </w:r>
      <w:r>
        <w:rPr>
          <w:rFonts w:ascii="Times New Roman;Times;Serif" w:hAnsi="Times New Roman;Times;Serif"/>
          <w:b w:val="false"/>
          <w:i w:val="false"/>
          <w:caps w:val="false"/>
          <w:smallCaps w:val="false"/>
          <w:strike/>
          <w:color w:val="FF0000"/>
          <w:sz w:val="20"/>
        </w:rPr>
        <w:t>loan</w:t>
      </w:r>
      <w:r>
        <w:rPr>
          <w:rFonts w:ascii="Times New Roman;Times;Serif" w:hAnsi="Times New Roman;Times;Serif"/>
          <w:b w:val="false"/>
          <w:i w:val="false"/>
          <w:caps w:val="false"/>
          <w:smallCaps w:val="false"/>
          <w:color w:val="0000FF"/>
          <w:sz w:val="20"/>
          <w:u w:val="single"/>
        </w:rPr>
        <w:t>Loan</w:t>
      </w:r>
      <w:r>
        <w:rPr>
          <w:rFonts w:ascii="Times New Roman;Times;Serif" w:hAnsi="Times New Roman;Times;Serif"/>
          <w:b w:val="false"/>
          <w:i w:val="false"/>
          <w:caps w:val="false"/>
          <w:smallCaps w:val="false"/>
          <w:sz w:val="20"/>
        </w:rPr>
        <w:t xml:space="preserve"> Parties or is merged into or consolidated with the Loan Parties or any of their Subsidiaries or that Person’s assets are acquired by the Loan Parties or any of their Subsidiaries, (c) the income of any Subsidiary of the Loan Parties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(d) any unrealized foreign currency translation or transaction gains or losses in respect of Indebtedness or other monetary items of the Loan Parties or any Subsidiary owing to the Loan Parties or any Subsidiary and any unrealized foreign exchange gains or losses relating to the translation of assets and liabilities denominated in foreign currencies, (e) any after-tax gains or non-cash losses attributable to asset sales or returned surplus assets of any Plan or similar employee benefit plan, (f) any net gains, charges or losses on disposed, abandoned and discontinued operations (other than assets held for sale) and any accretion or accrual of discontinued operations, (g) effects of purchase accounting adjustments (including the effects of such adjustments pushed down to such Person and its Subsidiaries) in component amounts required or permitted by GAAP, resulting from the application of purchase accounting in relation to any consummated acquisition or the amortization or write-off of any amounts thereof, net of taxes and (h) to the extent not included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above, any net extraordinary gains or net extraordinary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Worth</w:t>
      </w:r>
      <w:r>
        <w:rPr>
          <w:rFonts w:ascii="Times New Roman;Times;Serif" w:hAnsi="Times New Roman;Times;Serif"/>
          <w:b w:val="false"/>
          <w:i w:val="false"/>
          <w:caps w:val="false"/>
          <w:smallCaps w:val="false"/>
          <w:sz w:val="20"/>
        </w:rPr>
        <w:t xml:space="preserve">” means, at any time in question, the Consolidated Total Assets of the Loan Parties and their Subsidiaries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consolidated total liabilities of the Loan Parties and their Subsidiaries, calculated on a consolidated basis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Rentals</w:t>
      </w:r>
      <w:r>
        <w:rPr>
          <w:rFonts w:ascii="Times New Roman;Times;Serif" w:hAnsi="Times New Roman;Times;Serif"/>
          <w:b w:val="false"/>
          <w:i w:val="false"/>
          <w:caps w:val="false"/>
          <w:smallCaps w:val="false"/>
          <w:sz w:val="20"/>
        </w:rPr>
        <w:t>” means, with reference to any period, the Rentals of the Loan Parties and their Subsidiaries calculated on a consolidated basis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xml:space="preserve">” means, as of any date of determination, the total amount of all assets of the Loan Parties and their Subsidiaries, determined on a consolidated basis in accordance with GAAP, as shown on the most recent balance sheet delivered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Affiliate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5.23(b)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Conversion/Continuation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CSO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means obligations to purchase, or other guarantees of, consumer loans the making of which were facilitated by Holdings, the </w:t>
      </w:r>
      <w:r>
        <w:rPr>
          <w:rFonts w:ascii="Times New Roman;Times;Serif" w:hAnsi="Times New Roman;Times;Serif"/>
          <w:b w:val="false"/>
          <w:i w:val="false"/>
          <w:caps w:val="false"/>
          <w:smallCaps w:val="false"/>
          <w:strike/>
          <w:color w:val="FF0000"/>
          <w:sz w:val="20"/>
          <w:shd w:fill="FFFFFF" w:val="clear"/>
        </w:rPr>
        <w:t>Borrower</w:t>
      </w:r>
      <w:r>
        <w:rPr>
          <w:rFonts w:ascii="Times New Roman;Times;Serif" w:hAnsi="Times New Roman;Times;Serif"/>
          <w:b w:val="false"/>
          <w:i w:val="false"/>
          <w:caps w:val="false"/>
          <w:smallCaps w:val="false"/>
          <w:color w:val="0000FF"/>
          <w:sz w:val="20"/>
          <w:u w:val="single"/>
          <w:shd w:fill="FFFFFF" w:val="clear"/>
        </w:rPr>
        <w:t>Borrowers</w:t>
      </w:r>
      <w:r>
        <w:rPr>
          <w:rFonts w:ascii="Times New Roman;Times;Serif" w:hAnsi="Times New Roman;Times;Serif"/>
          <w:b w:val="false"/>
          <w:i w:val="false"/>
          <w:caps w:val="false"/>
          <w:smallCaps w:val="false"/>
          <w:sz w:val="20"/>
          <w:shd w:fill="FFFFFF" w:val="clear"/>
        </w:rPr>
        <w:t xml:space="preserve"> or any Subsidiary acting as a credit services organization or other similar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CTA” </w:t>
      </w:r>
      <w:r>
        <w:rPr>
          <w:rFonts w:ascii="Times New Roman;Times;Serif" w:hAnsi="Times New Roman;Times;Serif"/>
          <w:b w:val="false"/>
          <w:i w:val="false"/>
          <w:caps w:val="false"/>
          <w:smallCaps w:val="false"/>
          <w:color w:val="0000FF"/>
          <w:sz w:val="20"/>
          <w:u w:val="single"/>
          <w:shd w:fill="FFFFFF" w:val="clear"/>
        </w:rPr>
        <w:t>means the UK’s Corporation Tax Act 2009.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Maturities of Long Term Debt</w:t>
      </w:r>
      <w:r>
        <w:rPr>
          <w:rFonts w:ascii="Times New Roman;Times;Serif" w:hAnsi="Times New Roman;Times;Serif"/>
          <w:b w:val="false"/>
          <w:i w:val="false"/>
          <w:caps w:val="false"/>
          <w:smallCaps w:val="false"/>
          <w:sz w:val="20"/>
        </w:rPr>
        <w:t>” means the principal portion of the long term debt of the Loan Parties and their Subsidiaries, on a consolidated basis, and the principal portion of the Capitalized Lease Obligations of the Loan Parties and their Subsidiaries, on a consolidated basis, which will be due in the twelve (12) months immediately following any date of computation of Current Maturities of Long Term Debt in accordance with GAAP, but excluding balloon payments of long term debt due at maturity if it is reasonably contemplated that such balloon payment will be refinanced on or prior to such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in Title 11 of the United States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xml:space="preserve">” means an event described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(a) when used with respect to the Obligations, other than Letter of Credit Fees, an interest rate equal to (i) for CB Floating Rate Advances </w:t>
      </w:r>
      <w:r>
        <w:rPr>
          <w:rFonts w:ascii="Times New Roman;Times;Serif" w:hAnsi="Times New Roman;Times;Serif"/>
          <w:b w:val="false"/>
          <w:i w:val="false"/>
          <w:caps w:val="false"/>
          <w:smallCaps w:val="false"/>
          <w:color w:val="0000FF"/>
          <w:sz w:val="20"/>
          <w:u w:val="single"/>
        </w:rPr>
        <w:t xml:space="preserve">and Swingline Loans, </w:t>
      </w:r>
      <w:r>
        <w:rPr>
          <w:rFonts w:ascii="Times New Roman;Times;Serif" w:hAnsi="Times New Roman;Times;Serif"/>
          <w:b w:val="false"/>
          <w:i w:val="false"/>
          <w:caps w:val="false"/>
          <w:smallCaps w:val="false"/>
          <w:sz w:val="20"/>
        </w:rPr>
        <w:t xml:space="preserve">(A) the CB Floating Rate plus (B) the Applicable Margin applicable to CB Floating Rate Advances plus (C) 2.00% per annum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(ii) for SOFR Advances, (A) Adjusted Term SOFR plus (B) the Applicable Margin applicable </w:t>
      </w:r>
      <w:r>
        <w:rPr>
          <w:rFonts w:ascii="Times New Roman;Times;Serif" w:hAnsi="Times New Roman;Times;Serif"/>
          <w:b w:val="false"/>
          <w:i w:val="false"/>
          <w:caps w:val="false"/>
          <w:smallCaps w:val="false"/>
          <w:color w:val="0000FF"/>
          <w:sz w:val="20"/>
          <w:u w:val="single"/>
        </w:rPr>
        <w:t xml:space="preserve">to SOFR Advances plus (C) 2.00% per annum and (iii) for Alternative Currency RFR Advances, (A) Adjusted Daily Simple RFR plus (B) the Applicable Margin applicable </w:t>
      </w:r>
      <w:r>
        <w:rPr>
          <w:rFonts w:ascii="Times New Roman;Times;Serif" w:hAnsi="Times New Roman;Times;Serif"/>
          <w:b w:val="false"/>
          <w:i w:val="false"/>
          <w:caps w:val="false"/>
          <w:smallCaps w:val="false"/>
          <w:sz w:val="20"/>
        </w:rPr>
        <w:t>to SOFR Advances plus (C) 2.00% per annum, (b) when used with respect to Letter of Credit Fees, a rate equal to the Applicable Margin applicable to Letter of Credit Fees plus 2.00% per annum and (c) when used with respect to any other fee or amount due hereunder, an interest rate equal to (A) the CB Floating Rate plus (B) the Applicable Margin</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applicable to CB Floating Rate Advances plus (C) 2%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any Lender that, (a) has failed to (i) fund all or any portion of its Loans </w:t>
      </w:r>
      <w:r>
        <w:rPr>
          <w:rFonts w:ascii="Times New Roman;Times;Serif" w:hAnsi="Times New Roman;Times;Serif"/>
          <w:b w:val="false"/>
          <w:i w:val="false"/>
          <w:caps w:val="false"/>
          <w:smallCaps w:val="false"/>
          <w:color w:val="0000FF"/>
          <w:sz w:val="20"/>
          <w:u w:val="single"/>
        </w:rPr>
        <w:t xml:space="preserve">or participations in L/C Obligations or Swingline Loans </w:t>
      </w:r>
      <w:r>
        <w:rPr>
          <w:rFonts w:ascii="Times New Roman;Times;Serif" w:hAnsi="Times New Roman;Times;Serif"/>
          <w:b w:val="false"/>
          <w:i w:val="false"/>
          <w:caps w:val="false"/>
          <w:smallCaps w:val="false"/>
          <w:sz w:val="20"/>
        </w:rPr>
        <w:t xml:space="preserve">within two (2) Business Days of the date such Loans </w:t>
      </w:r>
      <w:r>
        <w:rPr>
          <w:rFonts w:ascii="Times New Roman;Times;Serif" w:hAnsi="Times New Roman;Times;Serif"/>
          <w:b w:val="false"/>
          <w:i w:val="false"/>
          <w:caps w:val="false"/>
          <w:smallCaps w:val="false"/>
          <w:color w:val="0000FF"/>
          <w:sz w:val="20"/>
          <w:u w:val="single"/>
        </w:rPr>
        <w:t xml:space="preserve">or participations </w:t>
      </w:r>
      <w:r>
        <w:rPr>
          <w:rFonts w:ascii="Times New Roman;Times;Serif" w:hAnsi="Times New Roman;Times;Serif"/>
          <w:b w:val="false"/>
          <w:i w:val="false"/>
          <w:caps w:val="false"/>
          <w:smallCaps w:val="false"/>
          <w:sz w:val="20"/>
        </w:rPr>
        <w:t xml:space="preserve">were required to be funded hereunder unless such Lender notifies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or any other Lender any other amount required to be paid by it hereunder (including in respect of its participation in Letters of Credit </w:t>
      </w:r>
      <w:r>
        <w:rPr>
          <w:rFonts w:ascii="Times New Roman;Times;Serif" w:hAnsi="Times New Roman;Times;Serif"/>
          <w:b w:val="false"/>
          <w:i w:val="false"/>
          <w:caps w:val="false"/>
          <w:smallCaps w:val="false"/>
          <w:color w:val="0000FF"/>
          <w:sz w:val="20"/>
          <w:u w:val="single"/>
        </w:rPr>
        <w:t>or Swingline Loans</w:t>
      </w:r>
      <w:r>
        <w:rPr>
          <w:rFonts w:ascii="Times New Roman;Times;Serif" w:hAnsi="Times New Roman;Times;Serif"/>
          <w:b w:val="false"/>
          <w:i w:val="false"/>
          <w:caps w:val="false"/>
          <w:smallCaps w:val="false"/>
          <w:sz w:val="20"/>
        </w:rPr>
        <w:t xml:space="preserve">) within two (2) Business Days of the date when due, (b) has notified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Agent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L/C Issuer </w:t>
      </w:r>
      <w:r>
        <w:rPr>
          <w:rFonts w:ascii="Times New Roman;Times;Serif" w:hAnsi="Times New Roman;Times;Serif"/>
          <w:b w:val="false"/>
          <w:i w:val="false"/>
          <w:caps w:val="false"/>
          <w:smallCaps w:val="false"/>
          <w:color w:val="0000FF"/>
          <w:sz w:val="20"/>
          <w:u w:val="single"/>
        </w:rPr>
        <w:t xml:space="preserve">or the Swingline Lender </w:t>
      </w:r>
      <w:r>
        <w:rPr>
          <w:rFonts w:ascii="Times New Roman;Times;Serif" w:hAnsi="Times New Roman;Times;Serif"/>
          <w:b w:val="false"/>
          <w:i w:val="false"/>
          <w:caps w:val="false"/>
          <w:smallCaps w:val="false"/>
          <w:sz w:val="20"/>
        </w:rPr>
        <w:t xml:space="preserve">in writing that it does not intend to comply with its funding obligations hereunder, or has made a public statement to that effect (unless such writing or public statement relates to such Lender’s obligation to fund a Loan </w:t>
      </w:r>
      <w:r>
        <w:rPr>
          <w:rFonts w:ascii="Times New Roman;Times;Serif" w:hAnsi="Times New Roman;Times;Serif"/>
          <w:b w:val="false"/>
          <w:i w:val="false"/>
          <w:caps w:val="false"/>
          <w:smallCaps w:val="false"/>
          <w:color w:val="0000FF"/>
          <w:sz w:val="20"/>
          <w:u w:val="single"/>
        </w:rPr>
        <w:t xml:space="preserve">or participation </w:t>
      </w:r>
      <w:r>
        <w:rPr>
          <w:rFonts w:ascii="Times New Roman;Times;Serif" w:hAnsi="Times New Roman;Times;Serif"/>
          <w:b w:val="false"/>
          <w:i w:val="false"/>
          <w:caps w:val="false"/>
          <w:smallCaps w:val="false"/>
          <w:sz w:val="20"/>
        </w:rPr>
        <w:t xml:space="preserve">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Agent 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confirm in writing to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upon receipt of such written confirmation by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becomes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xml:space="preserve">) upon delivery of written notice of such determination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w:t>
      </w:r>
      <w:r>
        <w:rPr>
          <w:rFonts w:ascii="Times New Roman;Times;Serif" w:hAnsi="Times New Roman;Times;Serif"/>
          <w:b w:val="false"/>
          <w:i w:val="false"/>
          <w:caps w:val="false"/>
          <w:smallCaps w:val="false"/>
          <w:sz w:val="20"/>
        </w:rPr>
        <w:t>” means any Equity Interests of any Person which, by the terms thereof or by the terms of any security into which such Equity Interests are convertible or for which such Equity Interests are exchangeable or exercisable at the option of the holder, or upon the happening of any event (other than an asset sale or a change of control), mature or are mandatorily redeemable pursuant to sinking fund obligations or otherwise, or are redeemable for cash, property or securities constituting Indebtedness at the option of the holder thereof, in whole or in part, or would otherwise require the mandatory payment of dividends (other than dividends payable in Equity Interests (other than Disqualified Equity Interests) and cash in lieu of fractional shares of Equity Interests) on or prior to the date that is ninety-one (91) days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Dollar Equivalent” means, subject to Section 1.6(b), for any amount, at the time of determination thereof, (a) if such amount is expressed in Dollars, such amount and (b) if such amount is expressed in an Alternative Currency, the equivalent of such amount in Dollars as determined by the Agent at such time in its sole discretion by reference to the most recent Spot Rate for such Alternative Currency (as determined as of the most recent Revaluation Date) for the purchase of Dollars with such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dollars in lawful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Domestic Loan Party” means any Loan Party that is not a Foreign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that is organized and existing under the laws of the United States or any state or commonwealth thereof or under the laws of the District of Columbia, other than any such Subsidiary (x) that has no material assets other than equity, or equity and indebtedness, of one or more Foreign Subsidiaries or (y) that is owned by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EEA Borrower” means any Additional Borrower that is organized under the laws of an EEA Member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Eighth Amendment</w:t>
      </w:r>
      <w:r>
        <w:rPr>
          <w:rFonts w:ascii="Times New Roman;Times;Serif" w:hAnsi="Times New Roman;Times;Serif"/>
          <w:b w:val="false"/>
          <w:i w:val="false"/>
          <w:caps w:val="false"/>
          <w:smallCaps w:val="false"/>
          <w:strike/>
          <w:color w:val="FF0000"/>
          <w:sz w:val="20"/>
        </w:rPr>
        <w:t>” means that certain Eighth Amendment to Credit Agreement, dated as of the Eighth Amendment Effective Date, among the Borrower, Holdings, the other Loan Guarantors,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Eighth Amendment Effective Date</w:t>
      </w:r>
      <w:r>
        <w:rPr>
          <w:rFonts w:ascii="Times New Roman;Times;Serif" w:hAnsi="Times New Roman;Times;Serif"/>
          <w:b w:val="false"/>
          <w:i w:val="false"/>
          <w:caps w:val="false"/>
          <w:smallCaps w:val="false"/>
          <w:strike/>
          <w:color w:val="FF0000"/>
          <w:sz w:val="20"/>
        </w:rPr>
        <w:t>” means August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Embargoed Person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Enova Disposition</w:t>
      </w:r>
      <w:r>
        <w:rPr>
          <w:rFonts w:ascii="Times New Roman;Times;Serif" w:hAnsi="Times New Roman;Times;Serif"/>
          <w:b w:val="false"/>
          <w:i w:val="false"/>
          <w:caps w:val="false"/>
          <w:smallCaps w:val="false"/>
          <w:sz w:val="20"/>
        </w:rPr>
        <w:t>” means the distribution by Cash America of at least 80% of its ownership interest in Enova International, Inc. and its Subsidiaries to the holders of the Equity Interests of Cash America in connection with the initial public offering of Enova International,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federal, state, local and foreign statutes, laws, judicial decisions, regulations, ordinances, rules, judgments, orders, decrees, plans, injunctions, permits, concessions, grants, franchises, licenses, agreements and other governmental restrictions relating to (a) the protection of the environment, (b) the effect of the environment on human health, (c) emissions, discharges or releases of pollutants, contaminants, hazardous substances or wastes into surface water, ground water or land, or (d) the manufacture, processing, distribution, use, treatment, storage, disposal, transport or handling of pollutants, contaminants, hazardous substances or wastes or the clean-up or other remediation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preferred or limited), (d) in the case of a limited liability company, membership interests and (e) any other interest or participation that confers or could confer on a Person the right to receive a share of the profits and losses of, or distributions of assets of, the issuing Person, without limitation, options, warrants and any other “equity security” as defined in Rule 3a11-1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and any rule or regulation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xml:space="preserve">” means any trade or business (whether or not incorporated) that, together with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and the regulations thereunder at the time the Guarantee of such Loan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Federal withholding Taxes imposed on amounts payable to or for the account of such Lender with respect to an applicable interest in a Loan or Commitment pursuant to a law in effect on the date on which (i) such</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Lender acquires such interest in the Loan or Commitment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amounts with respect to such Taxes were payable either to such Lender’s assignor immediately before such Lender acquired the applicable interest in a Loan or Commitment or to such Lender immediately before it changed its lending office, (c)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 xml:space="preserve">Taxes attributable to such Recipient’s failure to comply with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(d) any Taxes imposed under FATCA </w:t>
      </w:r>
      <w:r>
        <w:rPr>
          <w:rFonts w:ascii="Times New Roman;Times;Serif" w:hAnsi="Times New Roman;Times;Serif"/>
          <w:b w:val="false"/>
          <w:i w:val="false"/>
          <w:caps w:val="false"/>
          <w:smallCaps w:val="false"/>
          <w:color w:val="0000FF"/>
          <w:sz w:val="20"/>
          <w:u w:val="single"/>
        </w:rPr>
        <w:t>and (e) any UK Tax Deduction treated as an Excluded Tax by the terms of Section 3.5(h)(i)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refers to a specific exhibit to this Agreement, unless another document is specifically referenced.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 Order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Termination Date</w:t>
      </w:r>
      <w:r>
        <w:rPr>
          <w:rFonts w:ascii="Times New Roman;Times;Serif" w:hAnsi="Times New Roman;Times;Serif"/>
          <w:b w:val="false"/>
          <w:i w:val="false"/>
          <w:caps w:val="false"/>
          <w:smallCaps w:val="false"/>
          <w:sz w:val="20"/>
        </w:rPr>
        <w:t>” means the earlier of (a) the Maturity Date and (b) the date on which the Aggregate Commitment is reduced to zero or otherwise terminated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the Foreign Account Tax Compliance Act contained in Sections 1471 through 1474 of the Code as of the Effective Date (or any amended or successor version that is substantively comparable and not materially more onerous to comply with), any current or future regulations or official interpretations thereof, any intergovernmental agreements entered into in accordance therewith, and any agreements entered into pursuant to Section 1471(b)(1)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means, for any day, the weighted average (rounded </w:t>
      </w:r>
      <w:r>
        <w:rPr>
          <w:rFonts w:ascii="Times New Roman;Times;Serif" w:hAnsi="Times New Roman;Times;Serif"/>
          <w:b w:val="false"/>
          <w:i w:val="false"/>
          <w:caps w:val="false"/>
          <w:smallCaps w:val="false"/>
          <w:strike/>
          <w:color w:val="FF0000"/>
          <w:sz w:val="20"/>
        </w:rPr>
        <w:t>upwards</w:t>
      </w:r>
      <w:r>
        <w:rPr>
          <w:rFonts w:ascii="Times New Roman;Times;Serif" w:hAnsi="Times New Roman;Times;Serif"/>
          <w:b w:val="false"/>
          <w:i w:val="false"/>
          <w:caps w:val="false"/>
          <w:smallCaps w:val="false"/>
          <w:color w:val="0000FF"/>
          <w:sz w:val="20"/>
          <w:u w:val="single"/>
        </w:rPr>
        <w:t>upward</w:t>
      </w:r>
      <w:r>
        <w:rPr>
          <w:rFonts w:ascii="Times New Roman;Times;Serif" w:hAnsi="Times New Roman;Times;Serif"/>
          <w:b w:val="false"/>
          <w:i w:val="false"/>
          <w:caps w:val="false"/>
          <w:smallCaps w:val="false"/>
          <w:sz w:val="20"/>
        </w:rPr>
        <w:t xml:space="preserve">, if necessary, to the next 1/16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w:t>
      </w:r>
      <w:r>
        <w:rPr>
          <w:rFonts w:ascii="Times New Roman;Times;Serif" w:hAnsi="Times New Roman;Times;Serif"/>
          <w:b w:val="false"/>
          <w:i w:val="false"/>
          <w:caps w:val="false"/>
          <w:smallCaps w:val="false"/>
          <w:strike/>
          <w:color w:val="FF0000"/>
          <w:sz w:val="20"/>
        </w:rPr>
        <w:t>upwards</w:t>
      </w:r>
      <w:r>
        <w:rPr>
          <w:rFonts w:ascii="Times New Roman;Times;Serif" w:hAnsi="Times New Roman;Times;Serif"/>
          <w:b w:val="false"/>
          <w:i w:val="false"/>
          <w:caps w:val="false"/>
          <w:smallCaps w:val="false"/>
          <w:color w:val="0000FF"/>
          <w:sz w:val="20"/>
          <w:u w:val="single"/>
        </w:rPr>
        <w:t>upward</w:t>
      </w:r>
      <w:r>
        <w:rPr>
          <w:rFonts w:ascii="Times New Roman;Times;Serif" w:hAnsi="Times New Roman;Times;Serif"/>
          <w:b w:val="false"/>
          <w:i w:val="false"/>
          <w:caps w:val="false"/>
          <w:smallCaps w:val="false"/>
          <w:sz w:val="20"/>
        </w:rPr>
        <w:t>, if necessary, to the next 1/16 of 1%) of the quotations for such day for such transactions received by the Agent from three Federal funds brokers of recognized standing selected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means that certain Fee Letter (as amended by that certain Engagement Letter dated as of November 15, 2019, by and between Wells Fargo Securities, LLC, Wells Fargo Bank, National Association, and FirstCash, Inc. and by the Fourth Amendment Fee Letter), dated as of June 13, 2016, by and between Wells Fargo Securities, LLC and First Cash Financial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Fifth Amendment</w:t>
      </w:r>
      <w:r>
        <w:rPr>
          <w:rFonts w:ascii="Times New Roman;Times;Serif" w:hAnsi="Times New Roman;Times;Serif"/>
          <w:b w:val="false"/>
          <w:i w:val="false"/>
          <w:caps w:val="false"/>
          <w:smallCaps w:val="false"/>
          <w:sz w:val="20"/>
        </w:rPr>
        <w:t>” means that certain Fifth Amendment to Amended and Restated Credit Agreement dated as of December 8,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Fifth Amendment Effective Date</w:t>
      </w:r>
      <w:r>
        <w:rPr>
          <w:rFonts w:ascii="Times New Roman;Times;Serif" w:hAnsi="Times New Roman;Times;Serif"/>
          <w:b w:val="false"/>
          <w:i w:val="false"/>
          <w:caps w:val="false"/>
          <w:smallCaps w:val="false"/>
          <w:sz w:val="20"/>
        </w:rPr>
        <w:t>” means the date all Conditions to Effectiveness set forth in Section 3.2 of the Fifth Amendment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First Amendment Effective Date</w:t>
      </w:r>
      <w:r>
        <w:rPr>
          <w:rFonts w:ascii="Times New Roman;Times;Serif" w:hAnsi="Times New Roman;Times;Serif"/>
          <w:b w:val="false"/>
          <w:i w:val="false"/>
          <w:caps w:val="false"/>
          <w:smallCaps w:val="false"/>
          <w:strike/>
          <w:color w:val="FF0000"/>
          <w:sz w:val="20"/>
        </w:rPr>
        <w:t>” means May 30,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Cash Senior Notes</w:t>
      </w:r>
      <w:r>
        <w:rPr>
          <w:rFonts w:ascii="Times New Roman;Times;Serif" w:hAnsi="Times New Roman;Times;Serif"/>
          <w:b w:val="false"/>
          <w:i w:val="false"/>
          <w:caps w:val="false"/>
          <w:smallCaps w:val="false"/>
          <w:sz w:val="20"/>
        </w:rPr>
        <w:t>” mean (i) the 2028 Notes, (ii) </w:t>
      </w:r>
      <w:r>
        <w:rPr>
          <w:rFonts w:ascii="Times New Roman;Times;Serif" w:hAnsi="Times New Roman;Times;Serif"/>
          <w:b w:val="false"/>
          <w:i w:val="false"/>
          <w:caps w:val="false"/>
          <w:smallCaps w:val="false"/>
          <w:strike/>
          <w:color w:val="FF0000"/>
          <w:sz w:val="20"/>
        </w:rPr>
        <w:t>those certain 5.625% senior notes due 2030 issued by the Borrower to the holders thereof pursuant to that certain Indenture, dated as of December 13, 2021, between the Borrower, the guarantors party thereto and BOKF, NA dba Bank of Texas, as trustee, (iii) those certain 6.875% senior notes due 2032 issued by the Borrower to the holders thereof pursuant to that certain Indenture, dated as of February 21, 2024, between the Borrower, the guarantors party thereto and BOKF, NA dba Bank of Texas, as trustee</w:t>
      </w:r>
      <w:r>
        <w:rPr>
          <w:rFonts w:ascii="Times New Roman;Times;Serif" w:hAnsi="Times New Roman;Times;Serif"/>
          <w:b w:val="false"/>
          <w:i w:val="false"/>
          <w:caps w:val="false"/>
          <w:smallCaps w:val="false"/>
          <w:color w:val="0000FF"/>
          <w:sz w:val="20"/>
          <w:u w:val="single"/>
        </w:rPr>
        <w:t>the 2030 Notes, (iii) the 2032 Notes, (iv) the 2034 Notes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xml:space="preserve">) any additional notes issued by the </w:t>
      </w:r>
      <w:r>
        <w:rPr>
          <w:rFonts w:ascii="Times New Roman;Times;Serif" w:hAnsi="Times New Roman;Times;Serif"/>
          <w:b w:val="false"/>
          <w:i w:val="false"/>
          <w:caps w:val="false"/>
          <w:smallCaps w:val="false"/>
          <w:strike/>
          <w:color w:val="FF0000"/>
          <w:sz w:val="20"/>
        </w:rPr>
        <w:t>Borrower pursuant to such Indentures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accordance with Section 6.11(q)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xml:space="preserve">” means, for each compliance reporting period, for the preceding four (4) fiscal quarters, the ratio of (y) Consolidated Net Income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Consolidated Interest Expense paid in cash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Consolidated Rentals to (z) Current Maturities of Long Term Debt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Consolidated Interest Expense paid in cash,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Consolidated Rentals.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Assets Control Regulations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xml:space="preserve">” means a Lender that is not a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Foreign Loan Parties” means, collectively, (a) the UK Borrowers, (b) HTL and (c) any other Foreign Subsidiary that becomes an Additional Borrower, Additional Guarantor or other Loan Party after the Tenth Amendment Effective Date in accordance with Section 1.9 or Section 6.20.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Restructuring</w:t>
      </w:r>
      <w:r>
        <w:rPr>
          <w:rFonts w:ascii="Times New Roman;Times;Serif" w:hAnsi="Times New Roman;Times;Serif"/>
          <w:b w:val="false"/>
          <w:i w:val="false"/>
          <w:caps w:val="false"/>
          <w:smallCaps w:val="false"/>
          <w:sz w:val="20"/>
        </w:rPr>
        <w:t xml:space="preserve">” means the reorganization of the ownership structure of the Foreign Subsidiaries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 so long as, immediately after giving effect thereto, the value of the Guarantees given by the Loam Guarantors is not materially impaired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xml:space="preserve">” means any Subsidiary </w:t>
      </w:r>
      <w:r>
        <w:rPr>
          <w:rFonts w:ascii="Times New Roman;Times;Serif" w:hAnsi="Times New Roman;Times;Serif"/>
          <w:b w:val="false"/>
          <w:i w:val="false"/>
          <w:caps w:val="false"/>
          <w:smallCaps w:val="false"/>
          <w:color w:val="0000FF"/>
          <w:sz w:val="20"/>
          <w:u w:val="single"/>
        </w:rPr>
        <w:t xml:space="preserve">(including, for the avoidance of doubt, each of the UK Borrowers) </w:t>
      </w:r>
      <w:r>
        <w:rPr>
          <w:rFonts w:ascii="Times New Roman;Times;Serif" w:hAnsi="Times New Roman;Times;Serif"/>
          <w:b w:val="false"/>
          <w:i w:val="false"/>
          <w:caps w:val="false"/>
          <w:smallCaps w:val="false"/>
          <w:sz w:val="20"/>
        </w:rPr>
        <w:t>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Fourth Amendment Effective Date</w:t>
      </w:r>
      <w:r>
        <w:rPr>
          <w:rFonts w:ascii="Times New Roman;Times;Serif" w:hAnsi="Times New Roman;Times;Serif"/>
          <w:b w:val="false"/>
          <w:i w:val="false"/>
          <w:caps w:val="false"/>
          <w:smallCaps w:val="false"/>
          <w:strike/>
          <w:color w:val="FF0000"/>
          <w:sz w:val="20"/>
        </w:rPr>
        <w:t>” means November 9,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Fourth Amendment Fee Letter</w:t>
      </w:r>
      <w:r>
        <w:rPr>
          <w:rFonts w:ascii="Times New Roman;Times;Serif" w:hAnsi="Times New Roman;Times;Serif"/>
          <w:b w:val="false"/>
          <w:i w:val="false"/>
          <w:caps w:val="false"/>
          <w:smallCaps w:val="false"/>
          <w:sz w:val="20"/>
        </w:rPr>
        <w:t xml:space="preserve">” means Fee Letter dated as of November 9, 2020, by and between Wells Fargo Bank, National Association and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FRB</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xml:space="preserve">” means, at any time there is a Defaulting Lender, </w:t>
      </w:r>
      <w:r>
        <w:rPr>
          <w:rFonts w:ascii="Times New Roman;Times;Serif" w:hAnsi="Times New Roman;Times;Serif"/>
          <w:b w:val="false"/>
          <w:i w:val="false"/>
          <w:caps w:val="false"/>
          <w:smallCaps w:val="false"/>
          <w:color w:val="0000FF"/>
          <w:sz w:val="20"/>
          <w:u w:val="single"/>
        </w:rPr>
        <w:t>(a) </w:t>
      </w:r>
      <w:r>
        <w:rPr>
          <w:rFonts w:ascii="Times New Roman;Times;Serif" w:hAnsi="Times New Roman;Times;Serif"/>
          <w:b w:val="false"/>
          <w:i w:val="false"/>
          <w:caps w:val="false"/>
          <w:smallCaps w:val="false"/>
          <w:sz w:val="20"/>
        </w:rPr>
        <w:t xml:space="preserve">with respect to any L/C Issuer </w:t>
      </w:r>
      <w:r>
        <w:rPr>
          <w:rFonts w:ascii="Times New Roman;Times;Serif" w:hAnsi="Times New Roman;Times;Serif"/>
          <w:b w:val="false"/>
          <w:i w:val="false"/>
          <w:caps w:val="false"/>
          <w:smallCaps w:val="false"/>
          <w:color w:val="0000FF"/>
          <w:sz w:val="20"/>
          <w:u w:val="single"/>
        </w:rPr>
        <w:t>and Letters of Credit denominated in Dollars</w:t>
      </w:r>
      <w:r>
        <w:rPr>
          <w:rFonts w:ascii="Times New Roman;Times;Serif" w:hAnsi="Times New Roman;Times;Serif"/>
          <w:b w:val="false"/>
          <w:i w:val="false"/>
          <w:caps w:val="false"/>
          <w:smallCaps w:val="false"/>
          <w:sz w:val="20"/>
        </w:rPr>
        <w:t>, such Defaulting Lender’s Pro Rata Share of the outstanding L/C Obligations with respect to Letters of Credit issued by such L/C Issuer other than L/C Obligations as to which such Defaulting Lender’s participation obligation has been reallocated to other Lenders or Cash Collateralized in accordance with the terms hereof</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(b) with respect to any L/C Issuer and Letters of Credit denominated in Alternative Currencies, such Defaulting Lender’s Alternative Currency Pro Rata Share of such outstanding L/C Obligations, if such Defaulting Lender is an Alternative Currency Lender, other than L/C Obligations as to which such Defaulting Lender’s participation obligation has been reallocated to other Alternative Currency Lenders or Cash Collateralized in accordance with the terms hereof; and (c) with respect to the Swingline Lender, such Defaulting Lender’s Pro Rata Share of outstanding Swingline Loans other than Swingline Loans as to which such Defaulting Lender’s participation obligation has been reallocated to other Lenders or Cash Collateralized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means generally accepted accounting principles in effect in the United States (or, in the case of Foreign Subsidiaries with significant operations outside the United States, generally accepted accounting principles in effect from time to time in their respective jurisdictions of organization or formation) applied on a consistent basis, subject, however, in the case of determination of compliance with the financial covenants set out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to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xml:space="preserve">” means the government of the United States or any other nation, or of any political subdivision thereof, whether state or local, and any agency, authority, instrumentality, regulatory </w:t>
      </w:r>
      <w:r>
        <w:rPr>
          <w:rFonts w:ascii="Times New Roman;Times;Serif" w:hAnsi="Times New Roman;Times;Serif"/>
          <w:b w:val="false"/>
          <w:i w:val="false"/>
          <w:caps w:val="false"/>
          <w:smallCaps w:val="false"/>
          <w:color w:val="0000FF"/>
          <w:sz w:val="20"/>
          <w:u w:val="single"/>
        </w:rPr>
        <w:t xml:space="preserve">or self-regulatory </w:t>
      </w:r>
      <w:r>
        <w:rPr>
          <w:rFonts w:ascii="Times New Roman;Times;Serif" w:hAnsi="Times New Roman;Times;Serif"/>
          <w:b w:val="false"/>
          <w:i w:val="false"/>
          <w:caps w:val="false"/>
          <w:smallCaps w:val="false"/>
          <w:sz w:val="20"/>
        </w:rPr>
        <w:t xml:space="preserve">body, court, central bank or other entity exercising executive, legislative, judicial, taxing, regulatory or </w:t>
      </w:r>
      <w:r>
        <w:rPr>
          <w:rFonts w:ascii="Times New Roman;Times;Serif" w:hAnsi="Times New Roman;Times;Serif"/>
          <w:b w:val="false"/>
          <w:i w:val="false"/>
          <w:caps w:val="false"/>
          <w:smallCaps w:val="false"/>
          <w:color w:val="0000FF"/>
          <w:sz w:val="20"/>
          <w:u w:val="single"/>
        </w:rPr>
        <w:t xml:space="preserve">self-regulatory or </w:t>
      </w:r>
      <w:r>
        <w:rPr>
          <w:rFonts w:ascii="Times New Roman;Times;Serif" w:hAnsi="Times New Roman;Times;Serif"/>
          <w:b w:val="false"/>
          <w:i w:val="false"/>
          <w:caps w:val="false"/>
          <w:smallCaps w:val="false"/>
          <w:sz w:val="20"/>
        </w:rPr>
        <w:t>administrative powers or functions of or pertaining to government (</w:t>
      </w:r>
      <w:r>
        <w:rPr>
          <w:rFonts w:ascii="Times New Roman;Times;Serif" w:hAnsi="Times New Roman;Times;Serif"/>
          <w:b w:val="false"/>
          <w:i w:val="false"/>
          <w:caps w:val="false"/>
          <w:smallCaps w:val="false"/>
          <w:strike/>
          <w:color w:val="FF0000"/>
          <w:sz w:val="20"/>
        </w:rPr>
        <w:t>including</w:t>
      </w:r>
      <w:r>
        <w:rPr>
          <w:rFonts w:ascii="Times New Roman;Times;Serif" w:hAnsi="Times New Roman;Times;Serif"/>
          <w:b w:val="false"/>
          <w:i w:val="false"/>
          <w:caps w:val="false"/>
          <w:smallCaps w:val="false"/>
          <w:color w:val="0000FF"/>
          <w:sz w:val="20"/>
          <w:u w:val="single"/>
        </w:rPr>
        <w:t>and including, for the avoidance of doubt, the European Central Bank, the Council of Ministers of the European Union, the Financial Conduct Authority (acting in accordance with Part 6 of the Financial Services and Markets Act 2000 (UK)), the Prudential Regulatory Authority and</w:t>
      </w:r>
      <w:r>
        <w:rPr>
          <w:rFonts w:ascii="Times New Roman;Times;Serif" w:hAnsi="Times New Roman;Times;Serif"/>
          <w:b w:val="false"/>
          <w:i w:val="false"/>
          <w:caps w:val="false"/>
          <w:smallCaps w:val="false"/>
          <w:sz w:val="20"/>
        </w:rPr>
        <w:t xml:space="preserve"> any supra-national bodies such as the European Union </w:t>
      </w:r>
      <w:r>
        <w:rPr>
          <w:rFonts w:ascii="Times New Roman;Times;Serif" w:hAnsi="Times New Roman;Times;Serif"/>
          <w:b w:val="false"/>
          <w:i w:val="false"/>
          <w:caps w:val="false"/>
          <w:smallCaps w:val="false"/>
          <w:strike/>
          <w:color w:val="FF0000"/>
          <w:sz w:val="20"/>
        </w:rPr>
        <w:t>or the European Central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(or the incurrence of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(or the incurrence of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(i) CSO Obligations, (ii) indemnities, product warranties or similar obligations incurred in the ordinary course of business or (iii) obligations under or in respect of any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16.1</w:t>
      </w:r>
      <w:r>
        <w:rPr>
          <w:rFonts w:ascii="Times New Roman;Times;Serif" w:hAnsi="Times New Roman;Times;Serif"/>
          <w:b w:val="false"/>
          <w:i w:val="false"/>
          <w:caps w:val="false"/>
          <w:smallCaps w:val="false"/>
          <w:sz w:val="20"/>
        </w:rPr>
        <w:t>. In no event shall the Guaranteed Obligations include any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xml:space="preserve">” means FirstCash Holdings, Inc., </w:t>
      </w:r>
      <w:r>
        <w:rPr>
          <w:rFonts w:ascii="Times New Roman;Times;Serif" w:hAnsi="Times New Roman;Times;Serif"/>
          <w:b w:val="false"/>
          <w:i w:val="false"/>
          <w:caps w:val="false"/>
          <w:smallCaps w:val="false"/>
          <w:color w:val="0000FF"/>
          <w:sz w:val="20"/>
          <w:u w:val="single"/>
        </w:rPr>
        <w:t xml:space="preserve">a Texas corporation, </w:t>
      </w:r>
      <w:r>
        <w:rPr>
          <w:rFonts w:ascii="Times New Roman;Times;Serif" w:hAnsi="Times New Roman;Times;Serif"/>
          <w:b w:val="false"/>
          <w:i w:val="false"/>
          <w:caps w:val="false"/>
          <w:smallCaps w:val="false"/>
          <w:sz w:val="20"/>
        </w:rPr>
        <w:t xml:space="preserve">which as of the Fifth Amendment Effective Date, was the owner of 100% of the Equity Interests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 and a Loan Guarantor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Honor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HTL” means Harvey &amp; Thompson Limited, a company incorporated under the laws of England and Wales with company number 02636684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xml:space="preserve">” means any Subsidiary of Holdings whose portion of the (a) Consolidated Total Assets of the Loan Parties and their Subsidiaries does not exceed five percent (5%) of the aggregate Consolidated Total Assets of the Loan Parties and their Subsidiaries or (b) gross revenues of the Loan Parties and their Subsidiaries does not exceed five percent (5%) of the aggregate gross revenues of the Loan Parties and their Subsidiaries (as set forth in the most recently delivered consolidated balance sheet of the Loan Parties and their Subsidiaries delivered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Incremental </w:t>
      </w:r>
      <w:r>
        <w:rPr>
          <w:rFonts w:ascii="Times New Roman;Times;Serif" w:hAnsi="Times New Roman;Times;Serif"/>
          <w:b w:val="false"/>
          <w:i w:val="false"/>
          <w:caps w:val="false"/>
          <w:smallCaps w:val="false"/>
          <w:color w:val="0000FF"/>
          <w:sz w:val="20"/>
          <w:u w:val="single"/>
        </w:rPr>
        <w:t xml:space="preserve">RCF </w:t>
      </w:r>
      <w:r>
        <w:rPr>
          <w:rFonts w:ascii="Times New Roman;Times;Serif" w:hAnsi="Times New Roman;Times;Serif"/>
          <w:b w:val="false"/>
          <w:i w:val="false"/>
          <w:caps w:val="false"/>
          <w:smallCaps w:val="false"/>
          <w:sz w:val="20"/>
          <w:u w:val="single"/>
        </w:rPr>
        <w:t>Increase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means any US dollar-denominated term loan made by an Incremental Term Loan Lender pursuant to an Incremental Term Loan Commitment under Section 2.24(II).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Amendment” means an amendment to this Agreement and, as applicable, the other Loan Documents, in form and substance reasonably satisfactory to the Agent, the Borrower Representative and the applicable Incremental Term Loan Lenders, entered into pursuant to Section 2.24(II).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Effective Date” means the effective date of any Incremental Term Loan Facility established pursuant to Section 2.24(II), as determined by the Agent and the Borrower Representative and set forth in the applicable Incremental Term Loan Amendment or related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Cap” means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Commitment” means, with respect to any Incremental Term Loan Lender, the commitment of such Incremental Term Loan Lender to make Incremental Term Loans pursuant to Section 2.24(II), as set forth in the applicable Incremental Term Loan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Facility” means the facility consisting of Incremental Term Loan Commitments and Incremental Term Loans established pursuant to Section 2.24(II). Notwithstanding anything herein to the contrary, no Incremental Term Loan Facility shall be in the form of a “delayed draw term loan” facility or similar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 Lender” means each Lender or other Person that provides an Incremental Term Loan Commitment or holds an Incremental Term Loan, in each case, as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without duplication, (a) all obligations of such Person for borrowed money, (b) all obligations of such Person evidenced by bonds, debentures, notes or similar instruments (other than letters of credit issued in connection with CSO Obligations),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to the extent such obligation is required to be listed as a liability on the balance sheet of such Person pursuant to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Capitalized Lease Obligations of such Person, (h) all obligations, contingent or otherwise, of such Person as an account party in respect of letters of credit and letters of guaranty (other than CSO Obligations), (i) all obligations, contingent or otherwise, of such Person in respect of bankers’ acceptances, (j) obligations, whether absolute or contingent and howsoever and whensoever created, arising, evidenced or acquired (including all renewals, extensions and modifications thereof and substitutions therefor), under (i) any and all Swap Agreements, (ii) any and all Precious Metal Transactions, and (iii) any and all cancellations, buy backs, reversals, terminations or assignments of any Swap Agreement transaction and (k) all preferred Equity Interests issued by such Person that are not Qualified Preferred Equity.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above shall (unless such Indebtedness has been assumed by such Person) be deemed to be equal to the lesser of (A) the aggregate unpaid amount of such Indebtedness and (B) the fair market value of the property encumbered thereby as determined by such Person in good faith. Notwithstanding the foregoing, Indebtedness shall not include (x) CSO Obligations or (y) obligations under or in respect of any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xml:space="preserve">” means (a) Taxes, other than Excluded Taxes, imposed on or with respect to any payment made by any Loan Party under any Loan Document and (b) to the extent not included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Interest Payment Date” means a Payment Date in respect of interest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as to any SOFR Advance, the period commencing on the date such SOFR Advance is disbursed or converted to or continued as a SOFR Advance and ending on the date one (1), three (3) or six (6) months thereafter, in each case as selected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in its Borrowing Notice or Conversion/Continuation Notice and subject to availability;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Interest Period shall commence on the date of advance of or conversion to any SOFR Advance and, in the case of immediately successive Interest Periods, each successive Interest Period shall commence on the date on which the immediately preceding Interest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Interest Period would otherwise expire on a day that is not a Business Day, such Interest Period shall expire on the next succeeding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shall be no more than ten (10) Interest Periods in effect at any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tenor that has been removed from this definition pursuant to </w:t>
      </w:r>
      <w:r>
        <w:rPr>
          <w:rFonts w:ascii="Times New Roman;Times;Serif" w:hAnsi="Times New Roman;Times;Serif"/>
          <w:b w:val="false"/>
          <w:i w:val="false"/>
          <w:caps w:val="false"/>
          <w:smallCaps w:val="false"/>
          <w:sz w:val="20"/>
          <w:u w:val="single"/>
        </w:rPr>
        <w:t>Section 3.6(c)(iv)</w:t>
      </w:r>
      <w:r>
        <w:rPr>
          <w:rFonts w:ascii="Times New Roman;Times;Serif" w:hAnsi="Times New Roman;Times;Serif"/>
          <w:b w:val="false"/>
          <w:i w:val="false"/>
          <w:caps w:val="false"/>
          <w:smallCaps w:val="false"/>
          <w:sz w:val="20"/>
        </w:rPr>
        <w:t> shall be available for specification in any Borrowing Notice or Conversion/Continuation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xml:space="preserve">” of a Person means any (i) Acquisition by such Person, (ii) advance, loan (other than commission, travel, entertainment, relocation and similar advances to directors, officers and employees made in the ordinary course of business) or other extension of credit (other than accounts receivable arising in the ordinary course of business on terms customary in the trade) to, any Person or (iii) other capital contribution to or investment in any Person, including, without limitation, any Guarantee (including any support for a letter of credit issued on behalf of such Person but excluding any Guarantees (other than Guarantees of Indebtedness) entered into in the ordinary course of business) incurred for the benefit of such Person. The amount, as of any date of determination, of (a) any Investment in the form of a loan or an advance shall be the principal amount thereof outstanding on such date,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(c) any Investment in the form of a transfer of Equity Interests or other non-cash property or services by the investor to the investee, including any such transfer in the form of a capital contribution, shall be the fair market value (as determined in good faith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of such Equity Interests or other property or services as of the time of the transfer,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payments actually received by such investor representing a return of capital of, or dividends or other distributions in respect of, such Investment </w:t>
      </w:r>
      <w:r>
        <w:rPr>
          <w:rFonts w:ascii="Times New Roman;Times;Serif" w:hAnsi="Times New Roman;Times;Serif"/>
          <w:b w:val="false"/>
          <w:i w:val="false"/>
          <w:caps w:val="false"/>
          <w:smallCaps w:val="false"/>
          <w:strike/>
          <w:color w:val="FF0000"/>
          <w:sz w:val="20"/>
        </w:rPr>
        <w:t>(to the extent such payments do not exceed, in the aggregate, the original amount of such Investment)</w:t>
      </w:r>
      <w:r>
        <w:rPr>
          <w:rFonts w:ascii="Times New Roman;Times;Serif" w:hAnsi="Times New Roman;Times;Serif"/>
          <w:b w:val="false"/>
          <w:i w:val="false"/>
          <w:caps w:val="false"/>
          <w:smallCaps w:val="false"/>
          <w:sz w:val="20"/>
        </w:rPr>
        <w:t xml:space="preserve">, but without any other adjustment for increases or decreases in value of, or write-ups, write-downs or write-offs with respect to, such Investment after the date of such Investment, and (d) any Investment (other than any Investment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by the specified Person in the form of a purchase or other acquisition for value of any Equity Interests, evidences of Indebtedness or other securities of any other Person shall be the original cost of such Investment,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 the cost of all additions thereto and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the amount of any portion of such Investment that has been repaid to the investor as a repayment of principal or a return of capital, and of any payments or other amounts actually received by such investor representing interest, dividends or other distributions in respect of such Investment </w:t>
      </w:r>
      <w:r>
        <w:rPr>
          <w:rFonts w:ascii="Times New Roman;Times;Serif" w:hAnsi="Times New Roman;Times;Serif"/>
          <w:b w:val="false"/>
          <w:i w:val="false"/>
          <w:caps w:val="false"/>
          <w:smallCaps w:val="false"/>
          <w:strike/>
          <w:color w:val="FF0000"/>
          <w:sz w:val="20"/>
        </w:rPr>
        <w:t xml:space="preserve">(to the extent the amounts referred to in </w:t>
      </w:r>
      <w:r>
        <w:rPr>
          <w:rFonts w:ascii="Times New Roman;Times;Serif" w:hAnsi="Times New Roman;Times;Serif"/>
          <w:b w:val="false"/>
          <w:i w:val="false"/>
          <w:caps w:val="false"/>
          <w:smallCaps w:val="false"/>
          <w:strike/>
          <w:color w:val="FF0000"/>
          <w:sz w:val="20"/>
          <w:u w:val="single"/>
        </w:rPr>
        <w:t>clause (ii)</w:t>
      </w:r>
      <w:r>
        <w:rPr>
          <w:rFonts w:ascii="Times New Roman;Times;Serif" w:hAnsi="Times New Roman;Times;Serif"/>
          <w:b w:val="false"/>
          <w:i w:val="false"/>
          <w:caps w:val="false"/>
          <w:smallCaps w:val="false"/>
          <w:strike/>
          <w:color w:val="FF0000"/>
          <w:sz w:val="20"/>
        </w:rPr>
        <w:t xml:space="preserve"> do not, in the aggregate, exceed the original cost of such Investment </w:t>
      </w:r>
      <w:r>
        <w:rPr>
          <w:rFonts w:ascii="Times New Roman;Times;Serif" w:hAnsi="Times New Roman;Times;Serif"/>
          <w:b w:val="false"/>
          <w:i/>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the costs of additions thereto)</w:t>
      </w:r>
      <w:r>
        <w:rPr>
          <w:rFonts w:ascii="Times New Roman;Times;Serif" w:hAnsi="Times New Roman;Times;Serif"/>
          <w:b w:val="false"/>
          <w:i w:val="false"/>
          <w:caps w:val="false"/>
          <w:smallCaps w:val="false"/>
          <w:sz w:val="20"/>
        </w:rPr>
        <w:t xml:space="preserve">, but without any other adjustment for increases or decreases in value of, or write-ups, write-downs or write-offs with respect to, such Investment after the date of such Investment. For purposes of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if an Investment involves the acquisition of more than one Person, the amount of such Investment shall be allocated among the acquired Persons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pending the final determination of the amounts to be so allocated in accordance with GAAP, such allocation shall be as reasonably determined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ITA” means the UK’s Income Tax Act 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in substantially the form of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color w:val="0000FF"/>
          <w:sz w:val="20"/>
          <w:u w:val="single"/>
        </w:rPr>
        <w:t>or such other form as the Agent may reasonably require or agree for any Additional Loan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all statutes, laws, ordinances, regulations, orders, writs, injunctions, or decrees of the United States, any city or municipality, state, commonwealth, nation, country, territory, possession, or any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Advance</w:t>
      </w:r>
      <w:r>
        <w:rPr>
          <w:rFonts w:ascii="Times New Roman;Times;Serif" w:hAnsi="Times New Roman;Times;Serif"/>
          <w:b w:val="false"/>
          <w:i w:val="false"/>
          <w:caps w:val="false"/>
          <w:smallCaps w:val="false"/>
          <w:sz w:val="20"/>
        </w:rPr>
        <w:t>” means, with respect to each Lender, such Lender’s participation in any L/C Borrowing in accordance with its Pro Rata Share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provided that, with respect to any L/C Borrowing arising from a Letter of Credit denominated in an Alternative Currency, “L/C Advance” means, with respect to each Alternative Currency Lender, such Alternative Currency Lender’s participation in such L/C Borrowing in accordance with its Alternative Currency Pro Rata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Borrowing</w:t>
      </w:r>
      <w:r>
        <w:rPr>
          <w:rFonts w:ascii="Times New Roman;Times;Serif" w:hAnsi="Times New Roman;Times;Serif"/>
          <w:b w:val="false"/>
          <w:i w:val="false"/>
          <w:caps w:val="false"/>
          <w:smallCaps w:val="false"/>
          <w:sz w:val="20"/>
        </w:rPr>
        <w:t>” means an extension of credit resulting from a drawing under any Letter of Credit which has not been reimbursed on the date when made or refinanced as a CB Floating Rate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Credit Extension</w:t>
      </w:r>
      <w:r>
        <w:rPr>
          <w:rFonts w:ascii="Times New Roman;Times;Serif" w:hAnsi="Times New Roman;Times;Serif"/>
          <w:b w:val="false"/>
          <w:i w:val="false"/>
          <w:caps w:val="false"/>
          <w:smallCaps w:val="false"/>
          <w:sz w:val="20"/>
        </w:rPr>
        <w:t>” means, with respect to any Letter of Credit, the issuance thereof or extension of the expiry date thereof, or the renewal or increase of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Issuer</w:t>
      </w:r>
      <w:r>
        <w:rPr>
          <w:rFonts w:ascii="Times New Roman;Times;Serif" w:hAnsi="Times New Roman;Times;Serif"/>
          <w:b w:val="false"/>
          <w:i w:val="false"/>
          <w:caps w:val="false"/>
          <w:smallCaps w:val="false"/>
          <w:sz w:val="20"/>
        </w:rPr>
        <w:t xml:space="preserve">” means Wells Fargo in its capacity as issuer of Letters of Credit hereunder, or any successor issuer of Letters of Credit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there shall only be one L/C Issuer at any one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xml:space="preserve">” means, as of any date of determination, the aggregate undrawn face amount of all outstanding Letters of Credit,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aggregate of all Unreimbursed Amounts, including all L/C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LCT Test Date” means, with respect to any Limited Condition Transaction, the date on which the definitive acquisition agreement or other definitive agreement governing such Limited Condition Transaction is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Legal Reservations” means in relation to any Loan Party incorporated under the laws of England and Wales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principle that certain equitable remedies may be granted or refused at the discretion of the court, the limitation of enforcement by laws relating to bankruptcy, insolvency, liquidation, examinership, reorganization, court schemes, moratoria, administration and other laws generally affecting the rights of creditors and secured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principle that an obligation and the rights of a creditor with respect to it may be affected by general law doctrines or statutory relief particularly in relation to matters such as fraud, misrepresentation, mistake, duress, unconscionable conduct, unfair contracts legislation, frustration, estoppel, waiver, lapse of time, penalties, courts retaining their ability to adjudicate, public policy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principle that the exercise of rights, powers or remedies under, or in relation to, any security or the Loan Documents (including the application of the proceeds of insurance, property, sale or enforcement) is subject to a number of general law or statutory restrictions, requirements and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time barring of claims under applicable limitation laws and defences of acquiescence, set off or counterclaim and the possibility that an undertaking to assume liability for or to indemnify a person against non-payment of stamp duty may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principle that additional interest imposed pursuant to any relevant agreement may be held to be unenforceable on the grounds that it is a penalty and thus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principle that a court may not give effect to an indemnity for legal costs incurred by an unsuccessful litigant;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principle that a court may not give effect to any parallel debt provisions, covenants to pay the Agent or other similar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similar principles, rights and defenses under the laws of any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making or the procuring of the appropriate registrations, filing, endorsements, notarisation, stampings and/or notification of the Loan Documents;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(j)</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any other matters (other than factual assumptions) which are set out as qualifications or reservations (however described) as to matters of law of general application in any legal opinion delivered pursuant to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means any of the several banks and other financial institutions as are, or may from time to time become parties to this Agreement (including, without limitation, the L/C Issuer </w:t>
      </w:r>
      <w:r>
        <w:rPr>
          <w:rFonts w:ascii="Times New Roman;Times;Serif" w:hAnsi="Times New Roman;Times;Serif"/>
          <w:b w:val="false"/>
          <w:i w:val="false"/>
          <w:caps w:val="false"/>
          <w:smallCaps w:val="false"/>
          <w:color w:val="0000FF"/>
          <w:sz w:val="20"/>
          <w:u w:val="single"/>
        </w:rPr>
        <w:t>and, unless the context otherwise requires, the Swingline Lender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“Lender” shall not include any Loan Party, any Loan Party’s Affiliates or Subsidiaries or any Ineligible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Installation</w:t>
      </w:r>
      <w:r>
        <w:rPr>
          <w:rFonts w:ascii="Times New Roman;Times;Serif" w:hAnsi="Times New Roman;Times;Serif"/>
          <w:b w:val="false"/>
          <w:i w:val="false"/>
          <w:caps w:val="false"/>
          <w:smallCaps w:val="false"/>
          <w:sz w:val="20"/>
        </w:rPr>
        <w:t xml:space="preserve">” means, with respect to a Lender or the Agent, the office, branch, subsidiary or affiliate of such Lender or the Agent listed on the signature pages hereof or otherwise selected by such Lender or the Agent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standby letter of credit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Application</w:t>
      </w:r>
      <w:r>
        <w:rPr>
          <w:rFonts w:ascii="Times New Roman;Times;Serif" w:hAnsi="Times New Roman;Times;Serif"/>
          <w:b w:val="false"/>
          <w:i w:val="false"/>
          <w:caps w:val="false"/>
          <w:smallCaps w:val="false"/>
          <w:sz w:val="20"/>
        </w:rPr>
        <w:t>” means an application and agreement for the issuance or amendment of a letter of credit in the form from time to time in use by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Expiration Date</w:t>
      </w:r>
      <w:r>
        <w:rPr>
          <w:rFonts w:ascii="Times New Roman;Times;Serif" w:hAnsi="Times New Roman;Times;Serif"/>
          <w:b w:val="false"/>
          <w:i w:val="false"/>
          <w:caps w:val="false"/>
          <w:smallCaps w:val="false"/>
          <w:sz w:val="20"/>
        </w:rPr>
        <w:t>” means the earlier of (a) the day that is on or before the Maturity Date (or, if such day is not a Business Day, the next preceding Business Day), or (b) one year after the date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Sublimit</w:t>
      </w:r>
      <w:r>
        <w:rPr>
          <w:rFonts w:ascii="Times New Roman;Times;Serif" w:hAnsi="Times New Roman;Times;Serif"/>
          <w:b w:val="false"/>
          <w:i w:val="false"/>
          <w:caps w:val="false"/>
          <w:smallCaps w:val="false"/>
          <w:sz w:val="20"/>
        </w:rPr>
        <w:t xml:space="preserve">” means, with regard to the Letters of Credit </w:t>
      </w:r>
      <w:r>
        <w:rPr>
          <w:rFonts w:ascii="Times New Roman;Times;Serif" w:hAnsi="Times New Roman;Times;Serif"/>
          <w:b w:val="false"/>
          <w:i w:val="false"/>
          <w:caps w:val="false"/>
          <w:smallCaps w:val="false"/>
          <w:color w:val="0000FF"/>
          <w:sz w:val="20"/>
          <w:u w:val="single"/>
        </w:rPr>
        <w:t>denominated in Dollars or Sterling</w:t>
      </w:r>
      <w:r>
        <w:rPr>
          <w:rFonts w:ascii="Times New Roman;Times;Serif" w:hAnsi="Times New Roman;Times;Serif"/>
          <w:b w:val="false"/>
          <w:i w:val="false"/>
          <w:caps w:val="false"/>
          <w:smallCaps w:val="false"/>
          <w:sz w:val="20"/>
        </w:rPr>
        <w:t>, the aggregate amount of $</w:t>
      </w:r>
      <w:r>
        <w:rPr>
          <w:rFonts w:ascii="Times New Roman;Times;Serif" w:hAnsi="Times New Roman;Times;Serif"/>
          <w:b w:val="false"/>
          <w:i w:val="false"/>
          <w:caps w:val="false"/>
          <w:smallCaps w:val="false"/>
          <w:strike/>
          <w:color w:val="FF0000"/>
          <w:sz w:val="20"/>
        </w:rPr>
        <w:t>20,000,000.00</w:t>
      </w:r>
      <w:r>
        <w:rPr>
          <w:rFonts w:ascii="Times New Roman;Times;Serif" w:hAnsi="Times New Roman;Times;Serif"/>
          <w:b w:val="false"/>
          <w:i w:val="false"/>
          <w:caps w:val="false"/>
          <w:smallCaps w:val="false"/>
          <w:color w:val="0000FF"/>
          <w:sz w:val="20"/>
          <w:u w:val="single"/>
        </w:rPr>
        <w:t>100,000,000.00</w:t>
      </w:r>
      <w:r>
        <w:rPr>
          <w:rFonts w:ascii="Times New Roman;Times;Serif" w:hAnsi="Times New Roman;Times;Serif"/>
          <w:b w:val="false"/>
          <w:i w:val="false"/>
          <w:caps w:val="false"/>
          <w:smallCaps w:val="false"/>
          <w:sz w:val="20"/>
        </w:rPr>
        <w:t>. The Letter of Credit Sublimit is part of, and not in addition to, the Aggregate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Leverage Ratio</w:t>
      </w:r>
      <w:r>
        <w:rPr>
          <w:rFonts w:ascii="Times New Roman;Times;Serif" w:hAnsi="Times New Roman;Times;Serif"/>
          <w:b w:val="false"/>
          <w:i w:val="false"/>
          <w:caps w:val="false"/>
          <w:smallCaps w:val="false"/>
          <w:sz w:val="20"/>
        </w:rPr>
        <w:t>” means, as of any date of determination, the ratio of (a)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Consolidated Funded Indebtedness (including Subordinated Indebtedness) as of such date </w:t>
      </w:r>
      <w:r>
        <w:rPr>
          <w:rFonts w:ascii="Times New Roman;Times;Serif" w:hAnsi="Times New Roman;Times;Serif"/>
          <w:b w:val="false"/>
          <w:i/>
          <w:caps w:val="false"/>
          <w:smallCaps w:val="false"/>
          <w:color w:val="0000FF"/>
          <w:sz w:val="20"/>
          <w:u w:val="single"/>
        </w:rPr>
        <w:t>minus</w:t>
      </w:r>
      <w:r>
        <w:rPr>
          <w:rFonts w:ascii="Times New Roman;Times;Serif" w:hAnsi="Times New Roman;Times;Serif"/>
          <w:b w:val="false"/>
          <w:i w:val="false"/>
          <w:caps w:val="false"/>
          <w:smallCaps w:val="false"/>
          <w:color w:val="0000FF"/>
          <w:sz w:val="20"/>
          <w:u w:val="single"/>
        </w:rPr>
        <w:t xml:space="preserve"> (ii) the aggregate amount of unrestricted cash and Cash Equivalent Investments of the Loan Parties as of such date, </w:t>
      </w:r>
      <w:r>
        <w:rPr>
          <w:rFonts w:ascii="Times New Roman;Times;Serif" w:hAnsi="Times New Roman;Times;Serif"/>
          <w:b w:val="false"/>
          <w:i w:val="false"/>
          <w:caps w:val="false"/>
          <w:smallCaps w:val="false"/>
          <w:sz w:val="20"/>
        </w:rPr>
        <w:t>to (b) Consolidated EBITDA (for the four fiscal quarter period ending on or immediately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Leverage Ratio Financial Covenant Reset Option” has the meaning assigned to such term in Section 6.19(b).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 (statutory or other), mortgage, pledge, hypothecation, assignment, deposit arrangement, encumbrance or preference, priority or other security agreement or preferential arrangement of any kind or nature whatsoever (including, without limitation, the interest of a vendor or lessor under any conditional sale, Capitalized Lease or other title retention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Limited Condition Transaction” means any Permitted Acquisition or similar Permitted Investment, in each case, that is not conditioned on the availability of, or on obtaining, third-party financing and that the Borrower Representative designates in writing to the Agent as a Limited Condition Transaction to be financed solely with proceeds of Incremental Term Loans in accordance with Section 1.10 and Section 2.24(II).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xml:space="preserve">” means, as of any date of determination, the </w:t>
      </w:r>
      <w:r>
        <w:rPr>
          <w:rFonts w:ascii="Times New Roman;Times;Serif" w:hAnsi="Times New Roman;Times;Serif"/>
          <w:b w:val="false"/>
          <w:i/>
          <w:caps w:val="false"/>
          <w:smallCaps w:val="false"/>
          <w:sz w:val="20"/>
          <w:u w:val="single"/>
        </w:rPr>
        <w:t>sum</w:t>
      </w:r>
      <w:r>
        <w:rPr>
          <w:rFonts w:ascii="Times New Roman;Times;Serif" w:hAnsi="Times New Roman;Times;Serif"/>
          <w:b w:val="false"/>
          <w:i w:val="false"/>
          <w:caps w:val="false"/>
          <w:smallCaps w:val="false"/>
          <w:sz w:val="20"/>
        </w:rPr>
        <w:t xml:space="preserve"> of (a) the Aggregate Commitment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the Revolving Principal Balance as of such date,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aggregate amount available to be borrowed under any other Indebtedness of the Loan Parties (to the extent such other Indebtedness is permitted hereunder),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(c) the amount of unrestricted cash and Cash Equivalent Investments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xml:space="preserve">” means, with respect to a Lender, such Lender’s loan made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including, for the avoidance of doubt, any Swingline Loan and any Incremental Term Loan) </w:t>
      </w:r>
      <w:r>
        <w:rPr>
          <w:rFonts w:ascii="Times New Roman;Times;Serif" w:hAnsi="Times New Roman;Times;Serif"/>
          <w:b w:val="false"/>
          <w:i w:val="false"/>
          <w:caps w:val="false"/>
          <w:smallCaps w:val="false"/>
          <w:sz w:val="20"/>
        </w:rPr>
        <w:t>or any conversion or continuation thereof</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provided that Incremental Term Loans shall not be included as Loans for purposes of calculating availability, usage, mandatory prepayments or commitment fees under the Aggregate Commitment, any Commitment, the Alternative Currency Commitments, the Alternative Currency Sublimit, the Letter of Credit Sublimit or the Swingline Commitment, except to the extent expressly provided in the applicable Incremental Term Loan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this Agreement, all Notes issued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all Letters of Credit issued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all Letter of Credit Applications, the Loan Guaranty, </w:t>
      </w:r>
      <w:r>
        <w:rPr>
          <w:rFonts w:ascii="Times New Roman;Times;Serif" w:hAnsi="Times New Roman;Times;Serif"/>
          <w:b w:val="false"/>
          <w:i w:val="false"/>
          <w:caps w:val="false"/>
          <w:smallCaps w:val="false"/>
          <w:color w:val="0000FF"/>
          <w:sz w:val="20"/>
          <w:u w:val="single"/>
        </w:rPr>
        <w:t xml:space="preserve">each Joinder Agreement, each Incremental Term Loan Amendment, </w:t>
      </w:r>
      <w:r>
        <w:rPr>
          <w:rFonts w:ascii="Times New Roman;Times;Serif" w:hAnsi="Times New Roman;Times;Serif"/>
          <w:b w:val="false"/>
          <w:i w:val="false"/>
          <w:caps w:val="false"/>
          <w:smallCaps w:val="false"/>
          <w:sz w:val="20"/>
        </w:rPr>
        <w:t>and such other agreements and documents, any amendments or supplements thereto or modifications thereof executed or delivered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Guarantor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(a) </w:t>
      </w:r>
      <w:r>
        <w:rPr>
          <w:rFonts w:ascii="Times New Roman;Times;Serif" w:hAnsi="Times New Roman;Times;Serif"/>
          <w:b w:val="false"/>
          <w:i w:val="false"/>
          <w:caps w:val="false"/>
          <w:smallCaps w:val="false"/>
          <w:sz w:val="20"/>
        </w:rPr>
        <w:t xml:space="preserve">Holdings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 (b) HTL, (c)</w:t>
      </w:r>
      <w:r>
        <w:rPr>
          <w:rFonts w:ascii="Times New Roman;Times;Serif" w:hAnsi="Times New Roman;Times;Serif"/>
          <w:b w:val="false"/>
          <w:i w:val="false"/>
          <w:caps w:val="false"/>
          <w:smallCaps w:val="false"/>
          <w:sz w:val="20"/>
        </w:rPr>
        <w:t xml:space="preserve"> each Domestic Subsidiary of Holdings (other than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w:t>
      </w:r>
      <w:r>
        <w:rPr>
          <w:rFonts w:ascii="Times New Roman;Times;Serif" w:hAnsi="Times New Roman;Times;Serif"/>
          <w:b w:val="false"/>
          <w:i w:val="false"/>
          <w:caps w:val="false"/>
          <w:smallCaps w:val="false"/>
          <w:color w:val="0000FF"/>
          <w:sz w:val="20"/>
          <w:u w:val="single"/>
        </w:rPr>
        <w:t>) or of the US Borrower (other than the UK Borrowers</w:t>
      </w:r>
      <w:r>
        <w:rPr>
          <w:rFonts w:ascii="Times New Roman;Times;Serif" w:hAnsi="Times New Roman;Times;Serif"/>
          <w:b w:val="false"/>
          <w:i w:val="false"/>
          <w:caps w:val="false"/>
          <w:smallCaps w:val="false"/>
          <w:sz w:val="20"/>
        </w:rPr>
        <w:t xml:space="preserve">) that is required to become a Loan Guarantor pursuant to </w:t>
      </w:r>
      <w:r>
        <w:rPr>
          <w:rFonts w:ascii="Times New Roman;Times;Serif" w:hAnsi="Times New Roman;Times;Serif"/>
          <w:b w:val="false"/>
          <w:i w:val="false"/>
          <w:caps w:val="false"/>
          <w:smallCaps w:val="false"/>
          <w:sz w:val="20"/>
          <w:u w:val="single"/>
        </w:rPr>
        <w:t>Section 6.20</w:t>
      </w:r>
      <w:r>
        <w:rPr>
          <w:rFonts w:ascii="Times New Roman;Times;Serif" w:hAnsi="Times New Roman;Times;Serif"/>
          <w:b w:val="false"/>
          <w:i w:val="false"/>
          <w:caps w:val="false"/>
          <w:smallCaps w:val="false"/>
          <w:color w:val="0000FF"/>
          <w:sz w:val="20"/>
          <w:u w:val="single"/>
        </w:rPr>
        <w:t>, and (d) each Additional Guarantor and each other Foreign Subsidiary that becomes a Loan Guarantor in accordance with Section 1.9 or Section 6.20</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any Loan Guarantor,</w:t>
      </w:r>
      <w:r>
        <w:rPr>
          <w:rFonts w:ascii="Times New Roman;Times;Serif" w:hAnsi="Times New Roman;Times;Serif"/>
          <w:b w:val="false"/>
          <w:i w:val="false"/>
          <w:caps w:val="false"/>
          <w:smallCaps w:val="false"/>
          <w:color w:val="0000FF"/>
          <w:sz w:val="20"/>
          <w:u w:val="single"/>
        </w:rPr>
        <w:t xml:space="preserve"> the Additional Loan Parties</w:t>
      </w:r>
      <w:r>
        <w:rPr>
          <w:rFonts w:ascii="Times New Roman;Times;Serif" w:hAnsi="Times New Roman;Times;Serif"/>
          <w:b w:val="false"/>
          <w:i w:val="false"/>
          <w:caps w:val="false"/>
          <w:smallCaps w:val="false"/>
          <w:sz w:val="20"/>
        </w:rPr>
        <w:t xml:space="preserve"> and any other Person who becomes a party to this Agreement pursuant to a Joinder Agreement and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means any one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 Obligations</w:t>
      </w:r>
      <w:r>
        <w:rPr>
          <w:rFonts w:ascii="Times New Roman;Times;Serif" w:hAnsi="Times New Roman;Times;Serif"/>
          <w:b w:val="false"/>
          <w:i w:val="false"/>
          <w:caps w:val="false"/>
          <w:smallCaps w:val="false"/>
          <w:sz w:val="20"/>
        </w:rPr>
        <w:t>” means all Obligations, together with all (a) Banking Services Obligations, (b) Swap Obligations owing to one or more Lenders or their respective Affiliates, and (c) Precious Metal Obligations owing to one or more Lenders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assets, financial condition or results of operations of the Loan Parties and their Subsidiaries, taken as a whole, (b) the ability of a Loan Party to perform its obligations under the Loan Documents to which it is a party, or (c) the validity or enforceability of any of the Loan Documents or the rights or remedies of the Agent or the Lenders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Material Acquisition or Investment” means an Acquisition or Investment with aggregate consideration for such Acquisition or Investment, in excess of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trike/>
          <w:color w:val="FF0000"/>
          <w:sz w:val="20"/>
        </w:rPr>
        <w:t>earlier</w:t>
      </w:r>
      <w:r>
        <w:rPr>
          <w:rFonts w:ascii="Times New Roman;Times;Serif" w:hAnsi="Times New Roman;Times;Serif"/>
          <w:b w:val="false"/>
          <w:i w:val="false"/>
          <w:caps w:val="false"/>
          <w:smallCaps w:val="false"/>
          <w:color w:val="0000FF"/>
          <w:sz w:val="20"/>
          <w:u w:val="single"/>
        </w:rPr>
        <w:t>earliest</w:t>
      </w:r>
      <w:r>
        <w:rPr>
          <w:rFonts w:ascii="Times New Roman;Times;Serif" w:hAnsi="Times New Roman;Times;Serif"/>
          <w:b w:val="false"/>
          <w:i w:val="false"/>
          <w:caps w:val="false"/>
          <w:smallCaps w:val="false"/>
          <w:sz w:val="20"/>
        </w:rPr>
        <w:t xml:space="preserve"> to occur of (a) the fifth (5th) anniversary of the </w:t>
      </w:r>
      <w:r>
        <w:rPr>
          <w:rFonts w:ascii="Times New Roman;Times;Serif" w:hAnsi="Times New Roman;Times;Serif"/>
          <w:b w:val="false"/>
          <w:i w:val="false"/>
          <w:caps w:val="false"/>
          <w:smallCaps w:val="false"/>
          <w:strike/>
          <w:color w:val="FF0000"/>
          <w:sz w:val="20"/>
        </w:rPr>
        <w:t>Eighth</w:t>
      </w:r>
      <w:r>
        <w:rPr>
          <w:rFonts w:ascii="Times New Roman;Times;Serif" w:hAnsi="Times New Roman;Times;Serif"/>
          <w:b w:val="false"/>
          <w:i w:val="false"/>
          <w:caps w:val="false"/>
          <w:smallCaps w:val="false"/>
          <w:color w:val="0000FF"/>
          <w:sz w:val="20"/>
          <w:u w:val="single"/>
        </w:rPr>
        <w:t>Tenth</w:t>
      </w:r>
      <w:r>
        <w:rPr>
          <w:rFonts w:ascii="Times New Roman;Times;Serif" w:hAnsi="Times New Roman;Times;Serif"/>
          <w:b w:val="false"/>
          <w:i w:val="false"/>
          <w:caps w:val="false"/>
          <w:smallCaps w:val="false"/>
          <w:sz w:val="20"/>
        </w:rPr>
        <w:t xml:space="preserve"> Amendment Effective Date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w:t>
      </w:r>
      <w:r>
        <w:rPr>
          <w:rFonts w:ascii="Times New Roman;Times;Serif" w:hAnsi="Times New Roman;Times;Serif"/>
          <w:b w:val="false"/>
          <w:i w:val="false"/>
          <w:caps w:val="false"/>
          <w:smallCaps w:val="false"/>
          <w:strike/>
          <w:color w:val="FF0000"/>
          <w:sz w:val="20"/>
        </w:rPr>
        <w:t xml:space="preserve">if, as of </w:t>
      </w:r>
      <w:r>
        <w:rPr>
          <w:rFonts w:ascii="Times New Roman;Times;Serif" w:hAnsi="Times New Roman;Times;Serif"/>
          <w:b w:val="false"/>
          <w:i w:val="false"/>
          <w:caps w:val="false"/>
          <w:smallCaps w:val="false"/>
          <w:sz w:val="20"/>
        </w:rPr>
        <w:t xml:space="preserve">June 3, 2028 </w:t>
      </w:r>
      <w:r>
        <w:rPr>
          <w:rFonts w:ascii="Times New Roman;Times;Serif" w:hAnsi="Times New Roman;Times;Serif"/>
          <w:b w:val="false"/>
          <w:i w:val="false"/>
          <w:caps w:val="false"/>
          <w:smallCaps w:val="false"/>
          <w:strike/>
          <w:color w:val="FF0000"/>
          <w:sz w:val="20"/>
        </w:rPr>
        <w:t>(the “</w:t>
      </w:r>
      <w:r>
        <w:rPr>
          <w:rFonts w:ascii="Times New Roman;Times;Serif" w:hAnsi="Times New Roman;Times;Serif"/>
          <w:b w:val="false"/>
          <w:i w:val="false"/>
          <w:caps w:val="false"/>
          <w:smallCaps w:val="false"/>
          <w:strike/>
          <w:color w:val="FF0000"/>
          <w:sz w:val="20"/>
          <w:u w:val="single"/>
        </w:rPr>
        <w:t>Springing Maturity Date</w:t>
      </w:r>
      <w:r>
        <w:rPr>
          <w:rFonts w:ascii="Times New Roman;Times;Serif" w:hAnsi="Times New Roman;Times;Serif"/>
          <w:b w:val="false"/>
          <w:i w:val="false"/>
          <w:caps w:val="false"/>
          <w:smallCaps w:val="false"/>
          <w:strike/>
          <w:color w:val="FF0000"/>
          <w:sz w:val="20"/>
        </w:rPr>
        <w:t xml:space="preserve">”) the 2028 Notes Outstanding Amount is greater than $250,000,000, the Maturity Date shall be June 3, 2028;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that, if Liquidity as of the Springing Maturity Date is equal to or greater than the </w:t>
      </w:r>
      <w:r>
        <w:rPr>
          <w:rFonts w:ascii="Times New Roman;Times;Serif" w:hAnsi="Times New Roman;Times;Serif"/>
          <w:b w:val="false"/>
          <w:i/>
          <w:caps w:val="false"/>
          <w:smallCaps w:val="false"/>
          <w:strike/>
          <w:color w:val="FF0000"/>
          <w:sz w:val="20"/>
          <w:u w:val="single"/>
        </w:rPr>
        <w:t>sum</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of (i)</w:t>
      </w:r>
      <w:r>
        <w:rPr>
          <w:rFonts w:ascii="Times New Roman;Times;Serif" w:hAnsi="Times New Roman;Times;Serif"/>
          <w:b w:val="false"/>
          <w:i w:val="false"/>
          <w:caps w:val="false"/>
          <w:smallCaps w:val="false"/>
          <w:color w:val="0000FF"/>
          <w:sz w:val="20"/>
          <w:u w:val="single"/>
        </w:rPr>
        <w:t>, if, as of such date,</w:t>
      </w:r>
      <w:r>
        <w:rPr>
          <w:rFonts w:ascii="Times New Roman;Times;Serif" w:hAnsi="Times New Roman;Times;Serif"/>
          <w:b w:val="false"/>
          <w:i w:val="false"/>
          <w:caps w:val="false"/>
          <w:smallCaps w:val="false"/>
          <w:sz w:val="20"/>
        </w:rPr>
        <w:t xml:space="preserve"> the aggregate principal amount outstanding under the 2028 Notes (such amount, the “</w:t>
      </w:r>
      <w:r>
        <w:rPr>
          <w:rFonts w:ascii="Times New Roman;Times;Serif" w:hAnsi="Times New Roman;Times;Serif"/>
          <w:b w:val="false"/>
          <w:i w:val="false"/>
          <w:caps w:val="false"/>
          <w:smallCaps w:val="false"/>
          <w:sz w:val="20"/>
          <w:u w:val="single"/>
        </w:rPr>
        <w:t>2028 Notes Outstanding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(ii) $100,000,000, the Springing Maturity Date shall not apply (and the Maturity Date referenced in </w:t>
      </w:r>
      <w:r>
        <w:rPr>
          <w:rFonts w:ascii="Times New Roman;Times;Serif" w:hAnsi="Times New Roman;Times;Serif"/>
          <w:b w:val="false"/>
          <w:i w:val="false"/>
          <w:caps w:val="false"/>
          <w:smallCaps w:val="false"/>
          <w:strike/>
          <w:color w:val="FF0000"/>
          <w:sz w:val="20"/>
          <w:u w:val="single"/>
        </w:rPr>
        <w:t>clause (a)</w:t>
      </w:r>
      <w:r>
        <w:rPr>
          <w:rFonts w:ascii="Times New Roman;Times;Serif" w:hAnsi="Times New Roman;Times;Serif"/>
          <w:b w:val="false"/>
          <w:i w:val="false"/>
          <w:caps w:val="false"/>
          <w:smallCaps w:val="false"/>
          <w:strike/>
          <w:color w:val="FF0000"/>
          <w:sz w:val="20"/>
        </w:rPr>
        <w:t xml:space="preserve"> above shall apply). </w:t>
      </w:r>
      <w:r>
        <w:rPr>
          <w:rFonts w:ascii="Times New Roman;Times;Serif" w:hAnsi="Times New Roman;Times;Serif"/>
          <w:b w:val="false"/>
          <w:i w:val="false"/>
          <w:caps w:val="false"/>
          <w:smallCaps w:val="false"/>
          <w:color w:val="0000FF"/>
          <w:sz w:val="20"/>
          <w:u w:val="single"/>
        </w:rPr>
        <w:t xml:space="preserve">is greater than $250,000,000; provided that this clause (b) shall not apply if Liquidity as of such date is equal to or greater than the </w:t>
      </w:r>
      <w:r>
        <w:rPr>
          <w:rFonts w:ascii="Times New Roman;Times;Serif" w:hAnsi="Times New Roman;Times;Serif"/>
          <w:b w:val="false"/>
          <w:i/>
          <w:caps w:val="false"/>
          <w:smallCaps w:val="false"/>
          <w:color w:val="0000FF"/>
          <w:sz w:val="20"/>
          <w:u w:val="single"/>
        </w:rPr>
        <w:t>sum</w:t>
      </w:r>
      <w:r>
        <w:rPr>
          <w:rFonts w:ascii="Times New Roman;Times;Serif" w:hAnsi="Times New Roman;Times;Serif"/>
          <w:b w:val="false"/>
          <w:i w:val="false"/>
          <w:caps w:val="false"/>
          <w:smallCaps w:val="false"/>
          <w:color w:val="0000FF"/>
          <w:sz w:val="20"/>
          <w:u w:val="single"/>
        </w:rPr>
        <w:t xml:space="preserve"> of (i) the 2028 Notes Outstanding Amount </w:t>
      </w:r>
      <w:r>
        <w:rPr>
          <w:rFonts w:ascii="Times New Roman;Times;Serif" w:hAnsi="Times New Roman;Times;Serif"/>
          <w:b w:val="false"/>
          <w:i/>
          <w:caps w:val="false"/>
          <w:smallCaps w:val="false"/>
          <w:color w:val="0000FF"/>
          <w:sz w:val="20"/>
          <w:u w:val="single"/>
        </w:rPr>
        <w:t>plus</w:t>
      </w:r>
      <w:r>
        <w:rPr>
          <w:rFonts w:ascii="Times New Roman;Times;Serif" w:hAnsi="Times New Roman;Times;Serif"/>
          <w:b w:val="false"/>
          <w:i w:val="false"/>
          <w:caps w:val="false"/>
          <w:smallCaps w:val="false"/>
          <w:color w:val="0000FF"/>
          <w:sz w:val="20"/>
          <w:u w:val="single"/>
        </w:rPr>
        <w:t xml:space="preserve"> (ii) $50,000,000, and (c) October 1, 2029, if, as of such date, the aggregate principal amount outstanding under the 2030 Notes (such amount, the “2030 Notes Outstanding Amount”) is greater than $275,000,000; provided that this clause (c) shall not apply if Liquidity as of such date is equal to or greater than the </w:t>
      </w:r>
      <w:r>
        <w:rPr>
          <w:rFonts w:ascii="Times New Roman;Times;Serif" w:hAnsi="Times New Roman;Times;Serif"/>
          <w:b w:val="false"/>
          <w:i/>
          <w:caps w:val="false"/>
          <w:smallCaps w:val="false"/>
          <w:color w:val="0000FF"/>
          <w:sz w:val="20"/>
          <w:u w:val="single"/>
        </w:rPr>
        <w:t>sum</w:t>
      </w:r>
      <w:r>
        <w:rPr>
          <w:rFonts w:ascii="Times New Roman;Times;Serif" w:hAnsi="Times New Roman;Times;Serif"/>
          <w:b w:val="false"/>
          <w:i w:val="false"/>
          <w:caps w:val="false"/>
          <w:smallCaps w:val="false"/>
          <w:color w:val="0000FF"/>
          <w:sz w:val="20"/>
          <w:u w:val="single"/>
        </w:rPr>
        <w:t xml:space="preserve"> of (i) the 2030 Notes Outstanding Amount </w:t>
      </w:r>
      <w:r>
        <w:rPr>
          <w:rFonts w:ascii="Times New Roman;Times;Serif" w:hAnsi="Times New Roman;Times;Serif"/>
          <w:b w:val="false"/>
          <w:i/>
          <w:caps w:val="false"/>
          <w:smallCaps w:val="false"/>
          <w:color w:val="0000FF"/>
          <w:sz w:val="20"/>
          <w:u w:val="single"/>
        </w:rPr>
        <w:t>plus</w:t>
      </w:r>
      <w:r>
        <w:rPr>
          <w:rFonts w:ascii="Times New Roman;Times;Serif" w:hAnsi="Times New Roman;Times;Serif"/>
          <w:b w:val="false"/>
          <w:i w:val="false"/>
          <w:caps w:val="false"/>
          <w:smallCaps w:val="false"/>
          <w:color w:val="0000FF"/>
          <w:sz w:val="20"/>
          <w:u w:val="single"/>
        </w:rPr>
        <w:t xml:space="preserve"> (ii)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means </w:t>
      </w:r>
      <w:r>
        <w:rPr>
          <w:rFonts w:ascii="Times New Roman;Times;Serif" w:hAnsi="Times New Roman;Times;Serif"/>
          <w:b w:val="false"/>
          <w:i w:val="false"/>
          <w:caps w:val="false"/>
          <w:smallCaps w:val="false"/>
          <w:sz w:val="20"/>
        </w:rPr>
        <w:t xml:space="preserve">has the meaning assigned to such term in </w:t>
      </w:r>
      <w:r>
        <w:rPr>
          <w:rFonts w:ascii="Times New Roman;Times;Serif" w:hAnsi="Times New Roman;Times;Serif"/>
          <w:b w:val="false"/>
          <w:i w:val="false"/>
          <w:caps w:val="false"/>
          <w:smallCaps w:val="false"/>
          <w:sz w:val="20"/>
          <w:u w:val="single"/>
        </w:rPr>
        <w:t>Section 15.4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xml:space="preserve">” means the merger of Cash America with and into Frontier Merger Sub, LLC, a wholly owned Subsidiary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 xml:space="preserve">Borrower, with Frontier Merger Sub, LLC surviving the Merger, such that following the Merger, Frontier Merger Sub, LLC will remain a wholly owned subsidiary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xml:space="preserve">” means the Agreement and Plan of Merger dated as of April 28, 2016 among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Borrower, Frontier Merger Sub LLC and Cash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More Restrictive Covenant</w:t>
      </w:r>
      <w:r>
        <w:rPr>
          <w:rFonts w:ascii="Times New Roman;Times;Serif" w:hAnsi="Times New Roman;Times;Serif"/>
          <w:b w:val="false"/>
          <w:i w:val="false"/>
          <w:caps w:val="false"/>
          <w:smallCaps w:val="false"/>
          <w:sz w:val="20"/>
        </w:rPr>
        <w:t xml:space="preserve">” means, with respect to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any Subordinated Indebtedness or Permitted Refinancing </w:t>
      </w:r>
      <w:r>
        <w:rPr>
          <w:rFonts w:ascii="Times New Roman;Times;Serif" w:hAnsi="Times New Roman;Times;Serif"/>
          <w:b w:val="false"/>
          <w:i w:val="false"/>
          <w:caps w:val="false"/>
          <w:smallCaps w:val="false"/>
          <w:color w:val="0000FF"/>
          <w:sz w:val="20"/>
          <w:u w:val="single"/>
        </w:rPr>
        <w:t xml:space="preserve">thereof </w:t>
      </w:r>
      <w:r>
        <w:rPr>
          <w:rFonts w:ascii="Times New Roman;Times;Serif" w:hAnsi="Times New Roman;Times;Serif"/>
          <w:b w:val="false"/>
          <w:i w:val="false"/>
          <w:caps w:val="false"/>
          <w:smallCaps w:val="false"/>
          <w:sz w:val="20"/>
        </w:rPr>
        <w:t>having a principal amount in excess of $</w:t>
      </w:r>
      <w:r>
        <w:rPr>
          <w:rFonts w:ascii="Times New Roman;Times;Serif" w:hAnsi="Times New Roman;Times;Serif"/>
          <w:b w:val="false"/>
          <w:i w:val="false"/>
          <w:caps w:val="false"/>
          <w:smallCaps w:val="false"/>
          <w:strike/>
          <w:color w:val="FF0000"/>
          <w:sz w:val="20"/>
        </w:rPr>
        <w:t>10,000,000</w:t>
      </w:r>
      <w:r>
        <w:rPr>
          <w:rFonts w:ascii="Times New Roman;Times;Serif" w:hAnsi="Times New Roman;Times;Serif"/>
          <w:b w:val="false"/>
          <w:i w:val="false"/>
          <w:caps w:val="false"/>
          <w:smallCaps w:val="false"/>
          <w:color w:val="0000FF"/>
          <w:sz w:val="20"/>
          <w:u w:val="single"/>
        </w:rPr>
        <w:t>50,000,000 or (ii) any Incremental Term Loan Facility</w:t>
      </w:r>
      <w:r>
        <w:rPr>
          <w:rFonts w:ascii="Times New Roman;Times;Serif" w:hAnsi="Times New Roman;Times;Serif"/>
          <w:b w:val="false"/>
          <w:i w:val="false"/>
          <w:caps w:val="false"/>
          <w:smallCaps w:val="false"/>
          <w:sz w:val="20"/>
        </w:rPr>
        <w:t xml:space="preserve">, any financial covenant, negative covenant, default or similar restriction applicable to the Loan Parties or any of their Subsidiaries (regardless of whether such provision is labeled or otherwise characterized as a covenant), the subject matter of which is similar to the negative and financial covenants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of this Agreement, the defaults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this Agreement or related to definitions in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of this Agreement, but which contains one or more percentages, ratios, amounts or formulas that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val="false"/>
          <w:i w:val="false"/>
          <w:caps w:val="false"/>
          <w:smallCaps w:val="false"/>
          <w:color w:val="0000FF"/>
          <w:sz w:val="20"/>
          <w:u w:val="single"/>
        </w:rPr>
        <w:t>are</w:t>
      </w:r>
      <w:r>
        <w:rPr>
          <w:rFonts w:ascii="Times New Roman;Times;Serif" w:hAnsi="Times New Roman;Times;Serif"/>
          <w:b w:val="false"/>
          <w:i w:val="false"/>
          <w:caps w:val="false"/>
          <w:smallCaps w:val="false"/>
          <w:sz w:val="20"/>
        </w:rPr>
        <w:t xml:space="preserve"> more restrictive than those set forth herein or more beneficial to the holder or holders of the Indebtedness created or evidenced by the document in which such covenant or similar restriction is contained than to the Lenders hereunder</w:t>
      </w:r>
      <w:r>
        <w:rPr>
          <w:rFonts w:ascii="Times New Roman;Times;Serif" w:hAnsi="Times New Roman;Times;Serif"/>
          <w:b w:val="false"/>
          <w:i w:val="false"/>
          <w:caps w:val="false"/>
          <w:smallCaps w:val="false"/>
          <w:color w:val="0000FF"/>
          <w:sz w:val="20"/>
          <w:u w:val="single"/>
        </w:rPr>
        <w:t>, except to the extent such More Restrictive Covenant is also provided for the benefit of the Lenders hereunder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xml:space="preserve">” means a multiemployer plan as defined in Section 4001(a)(3) of ERISA to which </w:t>
      </w:r>
      <w:r>
        <w:rPr>
          <w:rFonts w:ascii="Times New Roman;Times;Serif" w:hAnsi="Times New Roman;Times;Serif"/>
          <w:b w:val="false"/>
          <w:i w:val="false"/>
          <w:caps w:val="false"/>
          <w:smallCaps w:val="false"/>
          <w:color w:val="0000FF"/>
          <w:sz w:val="20"/>
          <w:u w:val="single"/>
        </w:rPr>
        <w:t xml:space="preserve">any </w:t>
      </w:r>
      <w:r>
        <w:rPr>
          <w:rFonts w:ascii="Times New Roman;Times;Serif" w:hAnsi="Times New Roman;Times;Serif"/>
          <w:b w:val="false"/>
          <w:i w:val="false"/>
          <w:caps w:val="false"/>
          <w:smallCaps w:val="false"/>
          <w:sz w:val="20"/>
        </w:rPr>
        <w:t>Borrower or any ERISA Affiliate is making, is obligated to make or has made or been obligated to make contributions during the last six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Non-Cash Compensation Expense</w:t>
      </w:r>
      <w:r>
        <w:rPr>
          <w:rFonts w:ascii="Times New Roman;Times;Serif" w:hAnsi="Times New Roman;Times;Serif"/>
          <w:b w:val="false"/>
          <w:i w:val="false"/>
          <w:caps w:val="false"/>
          <w:smallCaps w:val="false"/>
          <w:sz w:val="20"/>
        </w:rPr>
        <w:t xml:space="preserve">” means any non-cash expenses and costs that result from the issuance of stock-based awards, partnership interest-based awards and similar </w:t>
      </w:r>
      <w:r>
        <w:rPr>
          <w:rFonts w:ascii="Times New Roman;Times;Serif" w:hAnsi="Times New Roman;Times;Serif"/>
          <w:b w:val="false"/>
          <w:i w:val="false"/>
          <w:caps w:val="false"/>
          <w:smallCaps w:val="false"/>
          <w:strike/>
          <w:color w:val="FF0000"/>
          <w:sz w:val="20"/>
        </w:rPr>
        <w:t>incentive based</w:t>
      </w:r>
      <w:r>
        <w:rPr>
          <w:rFonts w:ascii="Times New Roman;Times;Serif" w:hAnsi="Times New Roman;Times;Serif"/>
          <w:b w:val="false"/>
          <w:i w:val="false"/>
          <w:caps w:val="false"/>
          <w:smallCaps w:val="false"/>
          <w:color w:val="0000FF"/>
          <w:sz w:val="20"/>
          <w:u w:val="single"/>
        </w:rPr>
        <w:t>incentive-based</w:t>
      </w:r>
      <w:r>
        <w:rPr>
          <w:rFonts w:ascii="Times New Roman;Times;Serif" w:hAnsi="Times New Roman;Times;Serif"/>
          <w:b w:val="false"/>
          <w:i w:val="false"/>
          <w:caps w:val="false"/>
          <w:smallCaps w:val="false"/>
          <w:sz w:val="20"/>
        </w:rPr>
        <w:t xml:space="preserve"> compensation awards or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Non-EEA Lender” means, with respect to any EEA Borrower, each Lender that has delivered an EEA Opt-Out Notice with respect to such EEA Borrower in accordance with Section 1.9(d).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Non-USD Approved Currencies” means Sterling.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all of the promissory notes issued at the request of Lenders </w:t>
      </w:r>
      <w:r>
        <w:rPr>
          <w:rFonts w:ascii="Times New Roman;Times;Serif" w:hAnsi="Times New Roman;Times;Serif"/>
          <w:b w:val="false"/>
          <w:i w:val="false"/>
          <w:caps w:val="false"/>
          <w:smallCaps w:val="false"/>
          <w:color w:val="0000FF"/>
          <w:sz w:val="20"/>
          <w:u w:val="single"/>
        </w:rPr>
        <w:t xml:space="preserve">or the Swingline Lender </w:t>
      </w: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in the form of </w:t>
      </w:r>
      <w:r>
        <w:rPr>
          <w:rFonts w:ascii="Times New Roman;Times;Serif" w:hAnsi="Times New Roman;Times;Serif"/>
          <w:b w:val="false"/>
          <w:i w:val="false"/>
          <w:caps w:val="false"/>
          <w:smallCaps w:val="false"/>
          <w:sz w:val="20"/>
          <w:u w:val="single"/>
        </w:rPr>
        <w:t>Exhibit </w:t>
      </w:r>
      <w:r>
        <w:rPr>
          <w:rFonts w:ascii="Times New Roman;Times;Serif" w:hAnsi="Times New Roman;Times;Serif"/>
          <w:b w:val="false"/>
          <w:i w:val="false"/>
          <w:caps w:val="false"/>
          <w:smallCaps w:val="false"/>
          <w:strike/>
          <w:color w:val="FF0000"/>
          <w:sz w:val="20"/>
          <w:u w:val="single"/>
        </w:rPr>
        <w:t>E</w:t>
      </w:r>
      <w:r>
        <w:rPr>
          <w:rFonts w:ascii="Times New Roman;Times;Serif" w:hAnsi="Times New Roman;Times;Serif"/>
          <w:b w:val="false"/>
          <w:i w:val="false"/>
          <w:caps w:val="false"/>
          <w:smallCaps w:val="false"/>
          <w:color w:val="0000FF"/>
          <w:sz w:val="20"/>
          <w:u w:val="single"/>
        </w:rPr>
        <w:t>E1 (including any Swingline Note)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any one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all unpaid principal of and accrued and unpaid interest on the Loans, all accrued and unpaid fees and all expenses, reimbursements, indemnities and other obligations (including, but not limited to, L/C Obligations)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to the Lenders or to any Lender, the Agent or any indemnified party arising under the Loan Documents. In no event shall the Obligations include any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Lease</w:t>
      </w:r>
      <w:r>
        <w:rPr>
          <w:rFonts w:ascii="Times New Roman;Times;Serif" w:hAnsi="Times New Roman;Times;Serif"/>
          <w:b w:val="false"/>
          <w:i w:val="false"/>
          <w:caps w:val="false"/>
          <w:smallCaps w:val="false"/>
          <w:sz w:val="20"/>
        </w:rPr>
        <w:t>” of a Person means any lease of Property (other than a Capitalized Lease) by such Person as lessee which has an original term (including any required renewals and any renewals effective at the option of the lessor) of one year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other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Amount</w:t>
      </w:r>
      <w:r>
        <w:rPr>
          <w:rFonts w:ascii="Times New Roman;Times;Serif" w:hAnsi="Times New Roman;Times;Serif"/>
          <w:b w:val="false"/>
          <w:i w:val="false"/>
          <w:caps w:val="false"/>
          <w:smallCaps w:val="false"/>
          <w:sz w:val="20"/>
        </w:rPr>
        <w:t xml:space="preserve">” means (a) with respect to Advances on any date,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 xml:space="preserve">Revolving Principal Balance after giving effect to any borrowings and prepayments or repayments of Loans occurring on such date; </w:t>
      </w:r>
      <w:r>
        <w:rPr>
          <w:rFonts w:ascii="Times New Roman;Times;Serif" w:hAnsi="Times New Roman;Times;Serif"/>
          <w:b w:val="false"/>
          <w:i w:val="false"/>
          <w:caps w:val="false"/>
          <w:smallCaps w:val="false"/>
          <w:color w:val="0000FF"/>
          <w:sz w:val="20"/>
          <w:u w:val="single"/>
        </w:rPr>
        <w:t xml:space="preserve">and </w:t>
      </w:r>
      <w:r>
        <w:rPr>
          <w:rFonts w:ascii="Times New Roman;Times;Serif" w:hAnsi="Times New Roman;Times;Serif"/>
          <w:b w:val="false"/>
          <w:i w:val="false"/>
          <w:caps w:val="false"/>
          <w:smallCaps w:val="false"/>
          <w:sz w:val="20"/>
        </w:rPr>
        <w:t xml:space="preserve">(b) with respect to any L/C Obligations on any date,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Paid in Full</w:t>
      </w:r>
      <w:r>
        <w:rPr>
          <w:rFonts w:ascii="Times New Roman;Times;Serif" w:hAnsi="Times New Roman;Times;Serif"/>
          <w:b w:val="false"/>
          <w:i w:val="false"/>
          <w:caps w:val="false"/>
          <w:smallCaps w:val="false"/>
          <w:sz w:val="20"/>
        </w:rPr>
        <w:t>” means the payment or satisfaction in full of the Obligations (other than with respect to contingent indemnification obligations for which no claim has been made), the termination of the Commitments and the cancellation of the Letters of Credit (other than those Letters of Credit that have been Cash Collateralized or otherwise backstopped in a manner acceptable to the L/C Issuer in its sole discretion (including by “grandfathering” into one or more future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(USA PATRIOT ACT) Act of 2001 (Title III of Pub. L. No. 107-56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means the last Business Day of each March, June, September and December and the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Event of Default</w:t>
      </w:r>
      <w:r>
        <w:rPr>
          <w:rFonts w:ascii="Times New Roman;Times;Serif" w:hAnsi="Times New Roman;Times;Serif"/>
          <w:b w:val="false"/>
          <w:i w:val="false"/>
          <w:caps w:val="false"/>
          <w:smallCaps w:val="false"/>
          <w:sz w:val="20"/>
        </w:rPr>
        <w:t xml:space="preserve">” means a Default specified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Permitted Acquisition” means any Acquisition permitted pursuant to Section 6.14(c).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Permitted Bridge Financing” means any customary bridge facility, escrow or similar arrangement of the Loan Parties that (a) so long as the use of proceeds is limited to the payment of consideration, the repayment of indebtedness and related fees, expenses and transaction costs, in each case for a Permitted Acquisition or other similar Permitted Investment not prohibited hereunder, such facility is issued with the intent to convert such facility into Additional Unsecured Senior Debt that satisfies all applicable maturity and weighted average life requirements set forth herein for any such Additional Unsecured Senior Debt and (b) otherwise provides that such bridge facility is automatically convertible (subject to the satisfaction of certain customary conditions) into Indebtedness that satisfies all applicable maturity and weighted average life requirements of Additional Senior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Permitted Investment” means any Investment (other than a Permitted Acquisition) permitted pursuant to Section 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Receivables Financing</w:t>
      </w:r>
      <w:r>
        <w:rPr>
          <w:rFonts w:ascii="Times New Roman;Times;Serif" w:hAnsi="Times New Roman;Times;Serif"/>
          <w:b w:val="false"/>
          <w:i w:val="false"/>
          <w:caps w:val="false"/>
          <w:smallCaps w:val="false"/>
          <w:sz w:val="20"/>
        </w:rPr>
        <w:t xml:space="preserve">” means any receivables financing facility or arrangement pursuant to which a Securitization Subsidiary purchases or otherwise acquires accounts receivable of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Subsidiary and enters into a third party financing thereof on terms that the board of directors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has concluded are customary and market terms that are fair to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w:t>
      </w:r>
      <w:r>
        <w:rPr>
          <w:rFonts w:ascii="Times New Roman;Times;Serif" w:hAnsi="Times New Roman;Times;Serif"/>
          <w:b w:val="false"/>
          <w:i w:val="false"/>
          <w:caps w:val="false"/>
          <w:smallCaps w:val="false"/>
          <w:sz w:val="20"/>
        </w:rPr>
        <w:t xml:space="preserve">” means, with respect to any Person, any modification, refinancing, refunding, renewal or extension of any Indebtedness of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original issue discount,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 </w:t>
      </w:r>
      <w:r>
        <w:rPr>
          <w:rFonts w:ascii="Times New Roman;Times;Serif" w:hAnsi="Times New Roman;Times;Serif"/>
          <w:b w:val="false"/>
          <w:i w:val="false"/>
          <w:caps w:val="false"/>
          <w:smallCaps w:val="false"/>
          <w:sz w:val="20"/>
          <w:u w:val="single"/>
        </w:rPr>
        <w:t>Section 6.11(i)</w:t>
      </w:r>
      <w:r>
        <w:rPr>
          <w:rFonts w:ascii="Times New Roman;Times;Serif" w:hAnsi="Times New Roman;Times;Serif"/>
          <w:b w:val="false"/>
          <w:i w:val="false"/>
          <w:caps w:val="false"/>
          <w:smallCaps w:val="false"/>
          <w:sz w:val="20"/>
        </w:rPr>
        <w:t xml:space="preserve">, the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the terms and conditions (including, if applicable, as to collateral) of such modification, refinancing, refunding, renewal or extension taken as a whole are customary for similar Indebtedness in light of then-prevailing market conditions as reasonably determined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For the avoidance of doubt, it is understood that a Permitted Refinancing may constitute a portion of an issuance of Indebtedness in excess of the amount of such Permitted Refinancing;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excess amount is otherwise permitted to be incurred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firm, joint venture, partnership, limited liability company, association, enterprise, trust or other entity or organization, or any government or political subdivision or any agency, department or instrumentality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means any employee pension benefit plan (other than a Multiemployer Plan) subject to the provisions of Title IV of ERISA or Section 412 of the Code or Section 302 of ERISA, and in respect of which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Precious Metal</w:t>
      </w:r>
      <w:r>
        <w:rPr>
          <w:rFonts w:ascii="Times New Roman;Times;Serif" w:hAnsi="Times New Roman;Times;Serif"/>
          <w:b w:val="false"/>
          <w:i w:val="false"/>
          <w:caps w:val="false"/>
          <w:smallCaps w:val="false"/>
          <w:sz w:val="20"/>
        </w:rPr>
        <w:t>” means (i) silver (by the ounce) or silver bullion or (ii) gold (by the ounce) or gold bullion.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Precious Metal Obligations</w:t>
      </w:r>
      <w:r>
        <w:rPr>
          <w:rFonts w:ascii="Times New Roman;Times;Serif" w:hAnsi="Times New Roman;Times;Serif"/>
          <w:b w:val="false"/>
          <w:i w:val="false"/>
          <w:caps w:val="false"/>
          <w:smallCaps w:val="false"/>
          <w:sz w:val="20"/>
        </w:rPr>
        <w:t>” of a Loan Party means, with respect to any Loan Party, any obligation to pay under any agreement, contract or transaction that constitutes a Precious Metal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Precious Metal Transaction</w:t>
      </w:r>
      <w:r>
        <w:rPr>
          <w:rFonts w:ascii="Times New Roman;Times;Serif" w:hAnsi="Times New Roman;Times;Serif"/>
          <w:b w:val="false"/>
          <w:i w:val="false"/>
          <w:caps w:val="false"/>
          <w:smallCaps w:val="false"/>
          <w:sz w:val="20"/>
        </w:rPr>
        <w:t>” means any agreement with respect to the current, future, forward or spot physical purchase or sale by any Loan Party of Precious Metal from or to any third party in the ordinary course of the business of any such Loan Party and which is not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per annum publicly announced from time to time by the Agent as its prime rate at its offices at Fort Worth, Texas; each change in the Prime Rate shall be effective from and including the date such change is publicly announced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Principal Office</w:t>
      </w:r>
      <w:r>
        <w:rPr>
          <w:rFonts w:ascii="Times New Roman;Times;Serif" w:hAnsi="Times New Roman;Times;Serif"/>
          <w:b w:val="false"/>
          <w:i w:val="false"/>
          <w:caps w:val="false"/>
          <w:smallCaps w:val="false"/>
          <w:strike/>
          <w:color w:val="FF0000"/>
          <w:sz w:val="20"/>
        </w:rPr>
        <w:t>” means the Agent’s office at Wells Fargo Bank, National Association, 1525 W W.T. Harris Blvd, 1st Floor, Charlotte, North Carolina 28262-8522.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xml:space="preserve">” means any Person (a) listed in the Annex to the Executive Order or identified pursuant to Section 1 of the Executive Order; (b) is owned or controlled by, or acting for or on behalf of, any Person listed in the Annex to the Executive Order or identified pursuant to the provisions of Section 1 of the Executive Order; (c) with whom a Lender is prohibited from dealing or otherwise engaging in any transaction by any terrorism or anti-laundering law, including the Executive Order; (d) who commits, threatens, conspires to commit, or support “terrorism” as defined in the Executive Order; (e) who is named as a “Specially designated national or blocked person” on the most current list published by the OFAC at its official website, at </w:t>
      </w:r>
      <w:r>
        <w:rPr>
          <w:rFonts w:ascii="Times New Roman;Times;Serif" w:hAnsi="Times New Roman;Times;Serif"/>
          <w:b w:val="false"/>
          <w:i w:val="false"/>
          <w:caps w:val="false"/>
          <w:smallCaps w:val="false"/>
          <w:sz w:val="20"/>
          <w:u w:val="single"/>
        </w:rPr>
        <w:t>http://www.treas.gov/offices/enforcement/ofac/sdn/t11sdn.pdf</w:t>
      </w:r>
      <w:r>
        <w:rPr>
          <w:rFonts w:ascii="Times New Roman;Times;Serif" w:hAnsi="Times New Roman;Times;Serif"/>
          <w:b w:val="false"/>
          <w:i w:val="false"/>
          <w:caps w:val="false"/>
          <w:smallCaps w:val="false"/>
          <w:sz w:val="20"/>
        </w:rPr>
        <w:t xml:space="preserve"> or any replacement website or other replacement official publication of such list; or (f) who is owned or controlled by a Person listed above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of a Person means any and all property, whether real, personal, tangible, intangible, or mixed, of such Person, or other assets owned, leased or operated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each Lender, the percentage (carried out to the seventh decimal place) of the Aggregate Commitment set forth opposite the name of such Lender on </w:t>
      </w:r>
      <w:r>
        <w:rPr>
          <w:rFonts w:ascii="Times New Roman;Times;Serif" w:hAnsi="Times New Roman;Times;Serif"/>
          <w:b w:val="false"/>
          <w:i w:val="false"/>
          <w:caps w:val="false"/>
          <w:smallCaps w:val="false"/>
          <w:color w:val="0000FF"/>
          <w:sz w:val="20"/>
          <w:u w:val="single"/>
        </w:rPr>
        <w:t xml:space="preserve">the most recent Commitment </w:t>
      </w: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trike/>
          <w:color w:val="FF0000"/>
          <w:sz w:val="20"/>
          <w:u w:val="single"/>
        </w:rPr>
        <w:t>3</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w:t>
      </w:r>
      <w:r>
        <w:rPr>
          <w:rFonts w:ascii="Times New Roman;Times;Serif" w:hAnsi="Times New Roman;Times;Serif"/>
          <w:b w:val="false"/>
          <w:i w:val="false"/>
          <w:caps w:val="false"/>
          <w:smallCaps w:val="false"/>
          <w:sz w:val="20"/>
        </w:rPr>
        <w:t xml:space="preserve"> such share may be adjusted as contemplated herein</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For the avoidance of doubt, Alternative Currency Loans and L/C Obligations denominated in Alternative Currencies shall be funded, participated in and paid in accordance with the Alternative Currency Pro Rata Shares or the actual amounts owed to the Alternative Currency Lenders, as applicable, and not in accordance with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ECP Guarantor</w:t>
      </w:r>
      <w:r>
        <w:rPr>
          <w:rFonts w:ascii="Times New Roman;Times;Serif" w:hAnsi="Times New Roman;Times;Serif"/>
          <w:b w:val="false"/>
          <w:i w:val="false"/>
          <w:caps w:val="false"/>
          <w:smallCaps w:val="false"/>
          <w:sz w:val="20"/>
        </w:rPr>
        <w:t>” means, in respect of any Swap Obligation, each Loan Guarantor that has total assets exceeding $10,000,000 at the time such Swap Obligation is incurred or such other person as constitutes an ECP under the Commodity Exchange Act or any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Preferred Equity</w:t>
      </w:r>
      <w:r>
        <w:rPr>
          <w:rFonts w:ascii="Times New Roman;Times;Serif" w:hAnsi="Times New Roman;Times;Serif"/>
          <w:b w:val="false"/>
          <w:i w:val="false"/>
          <w:caps w:val="false"/>
          <w:smallCaps w:val="false"/>
          <w:sz w:val="20"/>
        </w:rPr>
        <w:t xml:space="preserve">” means any Equity Interests of Holdings 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that do not constitute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QPP Certificate” means a creditor certificate for the purposes of the QPP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QPP Lender” means a Lender which has delivered a QPP Certificate to a UK Borrower, provided that such QPP Certificate is not a Withdrawn Certificate or a Cancelled Certificate, and which has not subsequently provided its scheme reference number and jurisdiction of tax residence in respect of the HM Revenue &amp; Customs’ DT Treaty Passport scheme in accordance with Section 3.5(h)(iii).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QPP Regulations” means the Qualifying Private Placement Regulations 2015 (2015 No.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Fees</w:t>
      </w:r>
      <w:r>
        <w:rPr>
          <w:rFonts w:ascii="Times New Roman;Times;Serif" w:hAnsi="Times New Roman;Times;Serif"/>
          <w:b w:val="false"/>
          <w:i w:val="false"/>
          <w:caps w:val="false"/>
          <w:smallCaps w:val="false"/>
          <w:sz w:val="20"/>
        </w:rPr>
        <w:t>” means distributions or payments made directly or by means of discounts with respect to any accounts receivable or participation interest therein issued or sold in connection with, and other fees paid to a Person that is not a Subsidiary in connection with, any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as applicable, (a) the Agent, (b) any Lender, and (c)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Regulation D</w:t>
      </w:r>
      <w:r>
        <w:rPr>
          <w:rFonts w:ascii="Times New Roman;Times;Serif" w:hAnsi="Times New Roman;Times;Serif"/>
          <w:b w:val="false"/>
          <w:i w:val="false"/>
          <w:caps w:val="false"/>
          <w:smallCaps w:val="false"/>
          <w:strike/>
          <w:color w:val="FF0000"/>
          <w:sz w:val="20"/>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xml:space="preserve">” means the obligation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reimburse the L/C Issuer pursuant to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 for amounts drawn under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and advisors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 xml:space="preserve">(a) with respect to a Benchmark Replacement in respect of Obligations, interest, fees, commissions or other amounts denominated in, or calculated with respect to, Dollars, </w:t>
      </w:r>
      <w:r>
        <w:rPr>
          <w:rFonts w:ascii="Times New Roman;Times;Serif" w:hAnsi="Times New Roman;Times;Serif"/>
          <w:b w:val="false"/>
          <w:i w:val="false"/>
          <w:caps w:val="false"/>
          <w:smallCaps w:val="false"/>
          <w:sz w:val="20"/>
        </w:rPr>
        <w:t>the FRB or the Federal Reserve Bank of New York, or a committee officially endorsed or convened by the FRB or the Federal Reserve Bank of New York, or any successor thereto</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responsible for supervising such Benchmark Replacement or the administrator thereof or (ii) any working group or committee officially endorsed or convened by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Revaluation Date” means, subject to Section 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with respect to any Loan denominated in an Alternative Currency, each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color w:val="0000FF"/>
                <w:u w:val="single"/>
              </w:rPr>
            </w:pPr>
            <w:r>
              <w:rPr>
                <w:color w:val="0000FF"/>
                <w:u w:val="single"/>
              </w:rPr>
              <w:t>(i)</w:t>
            </w:r>
          </w:p>
        </w:tc>
        <w:tc>
          <w:tcPr>
            <w:tcW w:w="9988" w:type="dxa"/>
            <w:tcBorders/>
            <w:vAlign w:val="center"/>
          </w:tcPr>
          <w:p>
            <w:pPr>
              <w:pStyle w:val="TableContents"/>
              <w:bidi w:val="0"/>
              <w:spacing w:before="0" w:after="283"/>
              <w:jc w:val="both"/>
              <w:rPr>
                <w:color w:val="0000FF"/>
                <w:u w:val="single"/>
              </w:rPr>
            </w:pPr>
            <w:r>
              <w:rPr>
                <w:color w:val="0000FF"/>
                <w:u w:val="single"/>
              </w:rPr>
              <w:t>the date of the borrowing of such Loan (including any borrowing or deemed borrowing in respect of any unreimbursed portion of any payment by the L/C Issuer under any Letter of Credit denominated in an Alternative Currency), but only as to the amounts so borrowed on such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color w:val="0000FF"/>
                <w:u w:val="single"/>
              </w:rPr>
            </w:pPr>
            <w:r>
              <w:rPr>
                <w:color w:val="0000FF"/>
                <w:u w:val="single"/>
              </w:rPr>
              <w:t>(ii)</w:t>
            </w:r>
          </w:p>
        </w:tc>
        <w:tc>
          <w:tcPr>
            <w:tcW w:w="9899" w:type="dxa"/>
            <w:tcBorders/>
            <w:vAlign w:val="center"/>
          </w:tcPr>
          <w:p>
            <w:pPr>
              <w:pStyle w:val="TableContents"/>
              <w:bidi w:val="0"/>
              <w:spacing w:before="0" w:after="283"/>
              <w:jc w:val="both"/>
              <w:rPr>
                <w:color w:val="0000FF"/>
                <w:u w:val="single"/>
              </w:rPr>
            </w:pPr>
            <w:r>
              <w:rPr>
                <w:color w:val="0000FF"/>
                <w:u w:val="single"/>
              </w:rPr>
              <w:t>each date of a continuation of such Loan pursuant to the terms of this Agreement, but only as to the amounts so continued on such date,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such additional dates as the Agent shall reasonably determine,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with respect to any Letter of Credit denominated in an Alternative Currency, each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color w:val="0000FF"/>
                <w:u w:val="single"/>
              </w:rPr>
            </w:pPr>
            <w:r>
              <w:rPr>
                <w:color w:val="0000FF"/>
                <w:u w:val="single"/>
              </w:rPr>
              <w:t>(i)</w:t>
            </w:r>
          </w:p>
        </w:tc>
        <w:tc>
          <w:tcPr>
            <w:tcW w:w="9953" w:type="dxa"/>
            <w:tcBorders/>
            <w:vAlign w:val="center"/>
          </w:tcPr>
          <w:p>
            <w:pPr>
              <w:pStyle w:val="TableContents"/>
              <w:bidi w:val="0"/>
              <w:spacing w:before="0" w:after="283"/>
              <w:jc w:val="both"/>
              <w:rPr>
                <w:color w:val="0000FF"/>
                <w:u w:val="single"/>
              </w:rPr>
            </w:pPr>
            <w:r>
              <w:rPr>
                <w:color w:val="0000FF"/>
                <w:u w:val="single"/>
              </w:rPr>
              <w:t>each date of issuance of such Letter of Credit, but only as to the stated amount of the Letter of Credit so issued on such date,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such additional dates as the Agent shall reasonably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RFR Business Day” means any day except for (a) a Saturday, (b) a Sunday or (c) a day on which banks are closed for general business in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RFR Rate Day” has the meaning assigned to such term in the definition of Adjusted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Rentals</w:t>
      </w:r>
      <w:r>
        <w:rPr>
          <w:rFonts w:ascii="Times New Roman;Times;Serif" w:hAnsi="Times New Roman;Times;Serif"/>
          <w:b w:val="false"/>
          <w:i w:val="false"/>
          <w:caps w:val="false"/>
          <w:smallCaps w:val="false"/>
          <w:sz w:val="20"/>
        </w:rPr>
        <w:t>” of a Person means the aggregate fixed amounts payable by such Person under any 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sz w:val="20"/>
        </w:rPr>
        <w:t>” means, with respect to any Multiemployer Plan, the condition that such Plan is in reorganization within the meaning of such term as used in Section 4241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xml:space="preserve">” means a reportable event as defined in Section 4043 of ERISA and the regulations issued under such section, with respect to a Plan, excluding, however, such events as to which the PBGC has by regulation waived the requirement of Section 4043(a) of ERISA that it be notified within 30 days of the occurrence of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failure to meet the minimum funding standard of Section 412 of the Code and of Section 302 of ERISA shall be a Reportable Event regardless of the issuance of any such waiver of the notice requirement in accordance with either Section 4043(a) of ERISA or Section 412(d)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at any time, Lenders having Commitments </w:t>
      </w:r>
      <w:r>
        <w:rPr>
          <w:rFonts w:ascii="Times New Roman;Times;Serif" w:hAnsi="Times New Roman;Times;Serif"/>
          <w:b w:val="false"/>
          <w:i w:val="false"/>
          <w:caps w:val="false"/>
          <w:smallCaps w:val="false"/>
          <w:color w:val="0000FF"/>
          <w:sz w:val="20"/>
          <w:u w:val="single"/>
        </w:rPr>
        <w:t xml:space="preserve">and, to the extent existing at the applicable time of determination, outstanding Incremental Term Loans </w:t>
      </w:r>
      <w:r>
        <w:rPr>
          <w:rFonts w:ascii="Times New Roman;Times;Serif" w:hAnsi="Times New Roman;Times;Serif"/>
          <w:b w:val="false"/>
          <w:i w:val="false"/>
          <w:caps w:val="false"/>
          <w:smallCaps w:val="false"/>
          <w:sz w:val="20"/>
        </w:rPr>
        <w:t xml:space="preserve">representing more than 50% of the </w:t>
      </w:r>
      <w:r>
        <w:rPr>
          <w:rFonts w:ascii="Times New Roman;Times;Serif" w:hAnsi="Times New Roman;Times;Serif"/>
          <w:b w:val="false"/>
          <w:i w:val="false"/>
          <w:caps w:val="false"/>
          <w:smallCaps w:val="false"/>
          <w:color w:val="0000FF"/>
          <w:sz w:val="20"/>
          <w:u w:val="single"/>
        </w:rPr>
        <w:t xml:space="preserve">sum of (a) the </w:t>
      </w:r>
      <w:r>
        <w:rPr>
          <w:rFonts w:ascii="Times New Roman;Times;Serif" w:hAnsi="Times New Roman;Times;Serif"/>
          <w:b w:val="false"/>
          <w:i w:val="false"/>
          <w:caps w:val="false"/>
          <w:smallCaps w:val="false"/>
          <w:sz w:val="20"/>
        </w:rPr>
        <w:t xml:space="preserve">Aggregate Commitment </w:t>
      </w:r>
      <w:r>
        <w:rPr>
          <w:rFonts w:ascii="Times New Roman;Times;Serif" w:hAnsi="Times New Roman;Times;Serif"/>
          <w:b w:val="false"/>
          <w:i w:val="false"/>
          <w:caps w:val="false"/>
          <w:smallCaps w:val="false"/>
          <w:color w:val="0000FF"/>
          <w:sz w:val="20"/>
          <w:u w:val="single"/>
        </w:rPr>
        <w:t xml:space="preserve">at such time and (b) the aggregate principal amount of any outstanding Incremental Term Loans </w:t>
      </w:r>
      <w:r>
        <w:rPr>
          <w:rFonts w:ascii="Times New Roman;Times;Serif" w:hAnsi="Times New Roman;Times;Serif"/>
          <w:b w:val="false"/>
          <w:i w:val="false"/>
          <w:caps w:val="false"/>
          <w:smallCaps w:val="false"/>
          <w:sz w:val="20"/>
        </w:rPr>
        <w:t xml:space="preserve">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Lender shall be a Defaulting Lender at such time, then there shall be excluded from the determination of Required Lenders, Obligations owing to such Defaulting Lender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such Defaulting Lender’s Commitments </w:t>
      </w:r>
      <w:r>
        <w:rPr>
          <w:rFonts w:ascii="Times New Roman;Times;Serif" w:hAnsi="Times New Roman;Times;Serif"/>
          <w:b w:val="false"/>
          <w:i w:val="false"/>
          <w:caps w:val="false"/>
          <w:smallCaps w:val="false"/>
          <w:color w:val="0000FF"/>
          <w:sz w:val="20"/>
          <w:u w:val="single"/>
        </w:rPr>
        <w:t>and such Defaulting Lender’s Incremental Term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Required Alternative Currency Lenders” means, at any time, Alternative Currency Lenders having Alternative Currency Commitments representing more than 50% of the aggregate Alternative Currency Commitments at such time; provided, that if any Alternative Currency Lender shall be a Defaulting Lender at such time, then there shall be excluded from the determination of Required Alternative Currency Lenders, Alternative Currency Exposure owing to such Defaulting Lender and such Defaulting Lender’s Alternative Currency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or (d) any payment or prepayment of principal of, premium, if any, or interest on, redemption, purchase, retirement, defeasance, sinking fund or similar payment with respect to, any Subordinated Indebtedness of any Loan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 Awards</w:t>
      </w:r>
      <w:r>
        <w:rPr>
          <w:rFonts w:ascii="Times New Roman;Times;Serif" w:hAnsi="Times New Roman;Times;Serif"/>
          <w:b w:val="false"/>
          <w:i w:val="false"/>
          <w:caps w:val="false"/>
          <w:smallCaps w:val="false"/>
          <w:sz w:val="20"/>
        </w:rPr>
        <w:t>” means restricted stock unit awards and deferred stock unit awards of Cash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Increase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Principal Balance</w:t>
      </w:r>
      <w:r>
        <w:rPr>
          <w:rFonts w:ascii="Times New Roman;Times;Serif" w:hAnsi="Times New Roman;Times;Serif"/>
          <w:b w:val="false"/>
          <w:i w:val="false"/>
          <w:caps w:val="false"/>
          <w:smallCaps w:val="false"/>
          <w:sz w:val="20"/>
        </w:rPr>
        <w:t xml:space="preserve">” means the aggregate unpaid principal balance of the Loans </w:t>
      </w:r>
      <w:r>
        <w:rPr>
          <w:rFonts w:ascii="Times New Roman;Times;Serif" w:hAnsi="Times New Roman;Times;Serif"/>
          <w:b w:val="false"/>
          <w:i w:val="false"/>
          <w:caps w:val="false"/>
          <w:smallCaps w:val="false"/>
          <w:color w:val="0000FF"/>
          <w:sz w:val="20"/>
          <w:u w:val="single"/>
        </w:rPr>
        <w:t xml:space="preserve">(other than Incremental Term Loans) (including Swingline Loans) </w:t>
      </w:r>
      <w:r>
        <w:rPr>
          <w:rFonts w:ascii="Times New Roman;Times;Serif" w:hAnsi="Times New Roman;Times;Serif"/>
          <w:b w:val="false"/>
          <w:i w:val="false"/>
          <w:caps w:val="false"/>
          <w:smallCaps w:val="false"/>
          <w:sz w:val="20"/>
        </w:rPr>
        <w:t>at the time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Sanctions” has the meaning assigned to such term in Section 5.23(c).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w:t>
      </w:r>
      <w:r>
        <w:rPr>
          <w:rFonts w:ascii="Times New Roman;Times;Serif" w:hAnsi="Times New Roman;Times;Serif"/>
          <w:b w:val="false"/>
          <w:i w:val="false"/>
          <w:caps w:val="false"/>
          <w:smallCaps w:val="false"/>
          <w:sz w:val="20"/>
        </w:rPr>
        <w:t>” refers to a specific schedule to this Agreement, unless another document is specifically referenced.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means a numbered section of this Agreement, unless another document is specifically referenced.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Second Amendment Effective Date</w:t>
      </w:r>
      <w:r>
        <w:rPr>
          <w:rFonts w:ascii="Times New Roman;Times;Serif" w:hAnsi="Times New Roman;Times;Serif"/>
          <w:b w:val="false"/>
          <w:i w:val="false"/>
          <w:caps w:val="false"/>
          <w:smallCaps w:val="false"/>
          <w:strike/>
          <w:color w:val="FF0000"/>
          <w:sz w:val="20"/>
        </w:rPr>
        <w:t>” means October 4,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xml:space="preserve">” means any Subsidiary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that is designated a “Securitization Subsidiary” by the board of directors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does not engage in, and whose charter, bylaws, operating agreement or similar governing or constitutional document prohibits it from engaging in, any activities other than Permitted Receivables Financings and any activity necessary, incidental or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no portion of the Indebtedness or any other obligations (contingent or otherwise) of such entity (i) is Guaranteed by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Subsidiary, (ii) is recourse to or obligates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Subsidiary in any way or (iii) subjects any property or asset of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Subsidiary, directly or indirectly, contingently or otherwise, to the satisfaction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with respect to which none of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nor any Subsidiary has any obligation to maintain or preserve its financial condition or cause it to achieve certain levels of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respect of clauses (3) and (4), pursuant to customary representations, warranties, covenants and indemnities entered into in connection with a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Senior Credit Facility” means the revolving credit facility established under this Agreement, including the Commitments, Alternative Currency Commitments, Swingline Facility and L/C Facility, and excluding any Incremental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Seventh Amendment</w:t>
      </w:r>
      <w:r>
        <w:rPr>
          <w:rFonts w:ascii="Times New Roman;Times;Serif" w:hAnsi="Times New Roman;Times;Serif"/>
          <w:b w:val="false"/>
          <w:i w:val="false"/>
          <w:caps w:val="false"/>
          <w:smallCaps w:val="false"/>
          <w:strike/>
          <w:color w:val="FF0000"/>
          <w:sz w:val="20"/>
        </w:rPr>
        <w:t>” means that certain Seventh Amendment to Credit Agreement, dated as of the Seventh Amendment Effective Date, among the Borrower, Holdings, the other Loan Guarantors,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Seventh Amendment Effective Date</w:t>
      </w:r>
      <w:r>
        <w:rPr>
          <w:rFonts w:ascii="Times New Roman;Times;Serif" w:hAnsi="Times New Roman;Times;Serif"/>
          <w:b w:val="false"/>
          <w:i w:val="false"/>
          <w:caps w:val="false"/>
          <w:smallCaps w:val="false"/>
          <w:strike/>
          <w:color w:val="FF0000"/>
          <w:sz w:val="20"/>
        </w:rPr>
        <w:t>” means October 18,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Sixth Amendment Effective Date</w:t>
      </w:r>
      <w:r>
        <w:rPr>
          <w:rFonts w:ascii="Times New Roman;Times;Serif" w:hAnsi="Times New Roman;Times;Serif"/>
          <w:b w:val="false"/>
          <w:i w:val="false"/>
          <w:caps w:val="false"/>
          <w:smallCaps w:val="false"/>
          <w:strike/>
          <w:color w:val="FF0000"/>
          <w:sz w:val="20"/>
        </w:rPr>
        <w:t>” means August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Advance</w:t>
      </w:r>
      <w:r>
        <w:rPr>
          <w:rFonts w:ascii="Times New Roman;Times;Serif" w:hAnsi="Times New Roman;Times;Serif"/>
          <w:b w:val="false"/>
          <w:i w:val="false"/>
          <w:caps w:val="false"/>
          <w:smallCaps w:val="false"/>
          <w:sz w:val="20"/>
        </w:rPr>
        <w:t xml:space="preserve">” means any Loan bearing interest at a rate based on Adjusted Term SOFR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SONIA” means a rate equal to the Sterling Overnight Index Average as administered by the SONIA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SONIA Administrator” means the Bank of England (or any successor administrator of the Sterling Overnight Index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SONIA Administrator’s Website” 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Spot Rate” means, subject to Section 1.6(b), for a Currency, the rate provided (either by publication or otherwise provided or made available to the Agent) by Thomson Reuters Corp. (or equivalent service chosen by the Agent in its reasonable discretion) as the spot rate for the purchase of such Currency with another currency at a time selected by the Agent in accordance with the procedures generally used by the Agent for syndicated credit facilities in which it acts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Sterling” or “£” means the lawful currency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means, with respect to any Person, that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the fair value of the assets of such Person (determined on a going concern basis) is, on the date of determination, greater than the total amount of liabilities (including contingent and unliquidated liabilities) of such Person as of such date and that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xml:space="preserve"> as of such date, such Person is able to pay all liabilities of such Person as they mature in the ordinary course of business and such Person does not have unreasonably small capital with which to carry on its business. The amount of contingent or unliquidated liabilities, as of such date will be computed at the amount which, in light of all of the facts and circumstances existing at the time, represents the amount that can reasonably be expected to become an actual or matured value discount to present value at rates believed to be reasonable by such Person. </w:t>
      </w:r>
      <w:r>
        <w:rPr>
          <w:rFonts w:ascii="Times New Roman;Times;Serif" w:hAnsi="Times New Roman;Times;Serif"/>
          <w:b w:val="false"/>
          <w:i w:val="false"/>
          <w:caps w:val="false"/>
          <w:smallCaps w:val="false"/>
          <w:color w:val="0000FF"/>
          <w:sz w:val="20"/>
          <w:u w:val="single"/>
        </w:rPr>
        <w:t>Notwithstanding the foregoing, in relation to any Loan Party incorporated under the laws of England and Wales, nothing in this definition shall be construed as a reference to, or as satisfying or failing to satisfy, the test(s) for inability to pay debts set out in section 123(2) of the Insolvency Act 1986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xml:space="preserve">” means any Investment, disposition, incurrence or repayment of Indebtedness, Restricted Payment, discontinuance of operations, or any other event that should be calculated on a pro forma basis for purposes of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Maturity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has the meaning assigned to such term in</w:t>
      </w:r>
      <w:r>
        <w:rPr>
          <w:rFonts w:ascii="Times New Roman;Times;Serif" w:hAnsi="Times New Roman;Times;Serif"/>
          <w:b w:val="false"/>
          <w:i w:val="false"/>
          <w:caps w:val="false"/>
          <w:smallCaps w:val="false"/>
          <w:color w:val="0000FF"/>
          <w:sz w:val="20"/>
          <w:u w:val="single"/>
        </w:rPr>
        <w:t>means each date described in clauses (b) and (c) of</w:t>
      </w:r>
      <w:r>
        <w:rPr>
          <w:rFonts w:ascii="Times New Roman;Times;Serif" w:hAnsi="Times New Roman;Times;Serif"/>
          <w:b w:val="false"/>
          <w:i w:val="false"/>
          <w:caps w:val="false"/>
          <w:smallCaps w:val="false"/>
          <w:sz w:val="20"/>
        </w:rPr>
        <w:t xml:space="preserve"> the definition of “Maturity Date”</w:t>
      </w:r>
      <w:r>
        <w:rPr>
          <w:rFonts w:ascii="Times New Roman;Times;Serif" w:hAnsi="Times New Roman;Times;Serif"/>
          <w:b w:val="false"/>
          <w:i w:val="false"/>
          <w:caps w:val="false"/>
          <w:smallCaps w:val="false"/>
          <w:color w:val="0000FF"/>
          <w:sz w:val="20"/>
          <w:u w:val="single"/>
        </w:rPr>
        <w:t>, as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Repurchases</w:t>
      </w:r>
      <w:r>
        <w:rPr>
          <w:rFonts w:ascii="Times New Roman;Times;Serif" w:hAnsi="Times New Roman;Times;Serif"/>
          <w:b w:val="false"/>
          <w:i w:val="false"/>
          <w:caps w:val="false"/>
          <w:smallCaps w:val="false"/>
          <w:sz w:val="20"/>
        </w:rPr>
        <w:t xml:space="preserve">” means the dollar amount expended by Holdings 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acquire or retire any of its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xml:space="preserve">” of a Person means any Indebtedness of such Person, which is subordinated to payment of the Obligations on terms which are reasonably satisfactory to the Agent and which does not contain </w:t>
      </w:r>
      <w:r>
        <w:rPr>
          <w:rFonts w:ascii="Times New Roman;Times;Serif" w:hAnsi="Times New Roman;Times;Serif"/>
          <w:b w:val="false"/>
          <w:i w:val="false"/>
          <w:caps w:val="false"/>
          <w:smallCaps w:val="false"/>
          <w:color w:val="0000FF"/>
          <w:sz w:val="20"/>
          <w:u w:val="single"/>
        </w:rPr>
        <w:t xml:space="preserve">or is subject to </w:t>
      </w:r>
      <w:r>
        <w:rPr>
          <w:rFonts w:ascii="Times New Roman;Times;Serif" w:hAnsi="Times New Roman;Times;Serif"/>
          <w:b w:val="false"/>
          <w:i w:val="false"/>
          <w:caps w:val="false"/>
          <w:smallCaps w:val="false"/>
          <w:sz w:val="20"/>
        </w:rPr>
        <w:t xml:space="preserve">any More Restrictive Covenants </w:t>
      </w:r>
      <w:r>
        <w:rPr>
          <w:rFonts w:ascii="Times New Roman;Times;Serif" w:hAnsi="Times New Roman;Times;Serif"/>
          <w:b w:val="false"/>
          <w:i w:val="false"/>
          <w:caps w:val="false"/>
          <w:smallCaps w:val="false"/>
          <w:color w:val="0000FF"/>
          <w:sz w:val="20"/>
          <w:u w:val="single"/>
        </w:rPr>
        <w:t>(except to the extent such More Restrictive Covenants are also provided for the benefit of the Lenders hereunder)</w:t>
      </w:r>
      <w:r>
        <w:rPr>
          <w:rFonts w:ascii="Times New Roman;Times;Serif" w:hAnsi="Times New Roman;Times;Serif"/>
          <w:b w:val="false"/>
          <w:i w:val="false"/>
          <w:caps w:val="false"/>
          <w:smallCaps w:val="false"/>
          <w:sz w:val="20"/>
        </w:rPr>
        <w:t>. It is understood and agreed that any Subordinated Indebtedness of the Loan Parties or any Subsidiary that contains terms customary in the market at such time for similar issuances shall be acceptable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expressly provided, all references herein to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shall mean a Subsidiary of Holdings. As of the Effective Date (and, after giving effect to the update required pursuant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as of the Closing Date), there are no Subsidiaries except those listed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spot, future, credit default or derivative transaction, swaption or option transaction or similar agreement involving, or settled by reference to, one or more rates, currencies, financial commodities, equity or debt instruments or securities, or economic, financial or pricing indices or measures of economic, financial or pricing risk or value or any similar transaction or any combination of these transactions, including any of the foregoing designed to mitigate risks to which any Loan Party has exposure to Precious Metals;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Loan Parties or the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Obligations</w:t>
      </w:r>
      <w:r>
        <w:rPr>
          <w:rFonts w:ascii="Times New Roman;Times;Serif" w:hAnsi="Times New Roman;Times;Serif"/>
          <w:b w:val="false"/>
          <w:i w:val="false"/>
          <w:caps w:val="false"/>
          <w:smallCaps w:val="false"/>
          <w:sz w:val="20"/>
        </w:rPr>
        <w:t>” of a Loan Party means, with respect to any Loan Guarantor, an obligation to pay or perform under any agreement, contract or transaction that constitutes a “swap” within the meaning of § 1a(47) of the Commodity Exchange Act (including, for the avoidance of doubt, any Swap Agreement, hedging Precious Metal risk against any applicable pricing indices).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Swingline Commitment” means the lesser of (a) $50,000,000 and (b) the Aggregate Commitment. The Swingline Commitment is part of, and not in addition to, the Aggregate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Swingline Facility” means the swingline facility established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Swingline Lender” means Wells Fargo (or any of its designated branch offices or Affiliates), in its capacity as swingline lender hereunder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Swingline Loan” means any swingline loan made by the Swingline Lender to the US Borrower pursuant to Section 2.1, and all such swingline loans collectively as the context requires. All Swingline Loans shall be denominated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Swingline Note” means a promissory note made by the US Borrower in favor of the Swingline Lender evidencing the Swingline Loans made by the Swingline Lender, substantially in the form of Exhibit E with such changes as are appropriate to evidence Swingline Loans, and any substitutes therefor, and any replacements, restatements, renewals or extensions thereof,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Swingline Participation Amount” has the meaning assigned to such term in Section 2.1(b)(iii).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present or future taxes, duties, levies, imposts, deductions, charges or withholdings, and any and all liabilities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Tenth Amendment” means that certain Tenth Amendment to Amended and Restated Credit Agreement, dated as of the Tenth Amendment Effective Date, by and among the Borrowers and other Loan Parties party thereto, the Lenders party thereto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Tenth Amendment Effective Date” means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Advance,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Days prior to the first day of such Interest Period,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 for which such Term SOFR Reference Rate for such tenor was published by the Term SOFR Administrator so long as such first preceding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 is not more than three (3)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 CB Floating Rate Advance on any day, the Term SOFR Reference Rate for a tenor of one month on the day (such day, the “</w:t>
      </w:r>
      <w:r>
        <w:rPr>
          <w:rFonts w:ascii="Times New Roman;Times;Serif" w:hAnsi="Times New Roman;Times;Serif"/>
          <w:b w:val="false"/>
          <w:i w:val="false"/>
          <w:caps w:val="false"/>
          <w:smallCaps w:val="false"/>
          <w:sz w:val="20"/>
          <w:u w:val="single"/>
        </w:rPr>
        <w:t>CB Floating Rate Term SOFR Determination Day</w:t>
      </w:r>
      <w:r>
        <w:rPr>
          <w:rFonts w:ascii="Times New Roman;Times;Serif" w:hAnsi="Times New Roman;Times;Serif"/>
          <w:b w:val="false"/>
          <w:i w:val="false"/>
          <w:caps w:val="false"/>
          <w:smallCaps w:val="false"/>
          <w:sz w:val="20"/>
        </w:rPr>
        <w:t>”) that is two (2)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Days prior to such day,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as of 5:00 p.m. (Eastern time) on any CB Floating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 for which such Term SOFR Reference Rate for such tenor was published by the Term SOFR Administrator so long as such first preceding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 is not more than three (3)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Days prior to such CB Floating Rate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Third Amendment Effective Date</w:t>
      </w:r>
      <w:r>
        <w:rPr>
          <w:rFonts w:ascii="Times New Roman;Times;Serif" w:hAnsi="Times New Roman;Times;Serif"/>
          <w:b w:val="false"/>
          <w:i w:val="false"/>
          <w:caps w:val="false"/>
          <w:smallCaps w:val="false"/>
          <w:strike/>
          <w:color w:val="FF0000"/>
          <w:sz w:val="20"/>
        </w:rPr>
        <w:t>” means December 19,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with the Enemy Act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xml:space="preserve">” means, with respect to any Advance, its nature as a CB Floating Rate Advance </w:t>
      </w:r>
      <w:r>
        <w:rPr>
          <w:rFonts w:ascii="Times New Roman;Times;Serif" w:hAnsi="Times New Roman;Times;Serif"/>
          <w:b w:val="false"/>
          <w:i w:val="false"/>
          <w:caps w:val="false"/>
          <w:smallCaps w:val="false"/>
          <w:strike/>
          <w:color w:val="FF0000"/>
          <w:sz w:val="20"/>
        </w:rPr>
        <w:t>or a</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SOFR Advance </w:t>
      </w:r>
      <w:r>
        <w:rPr>
          <w:rFonts w:ascii="Times New Roman;Times;Serif" w:hAnsi="Times New Roman;Times;Serif"/>
          <w:b w:val="false"/>
          <w:i w:val="false"/>
          <w:caps w:val="false"/>
          <w:smallCaps w:val="false"/>
          <w:color w:val="0000FF"/>
          <w:sz w:val="20"/>
          <w:u w:val="single"/>
        </w:rPr>
        <w:t>or Alternative Currency RFR Advance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Unmatured Default</w:t>
      </w:r>
      <w:r>
        <w:rPr>
          <w:rFonts w:ascii="Times New Roman;Times;Serif" w:hAnsi="Times New Roman;Times;Serif"/>
          <w:b w:val="false"/>
          <w:i w:val="false"/>
          <w:caps w:val="false"/>
          <w:smallCaps w:val="false"/>
          <w:sz w:val="20"/>
        </w:rPr>
        <w:t>” means an event which but for the lapse of time or the giving of notice, or both, would constitute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Borrowers” means, collectively, (a) Chess Holdco and (b) Chess Bidco.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Loan Parties” means, collectively, (a) the UK Borrowers, (b) HTL and (c) any other Subsidiary organized or incorporated under the laws of England and Wales that becomes an Additional Borrower, Additional Guarantor or other Loan Party after the Tenth Amendment Effective Date in accordance with Section 1.9 or Section 6.20.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Non-Bank Lender” means a Lender which gives a UK Tax Confirmation in the documentation which it executes on becoming a party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Qualifying Lender” shall mean: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u w:val="single"/>
              </w:rPr>
            </w:pPr>
            <w:r>
              <w:rPr>
                <w:u w:val="single"/>
              </w:rPr>
              <w:t>(a)</w:t>
            </w:r>
          </w:p>
        </w:tc>
        <w:tc>
          <w:tcPr>
            <w:tcW w:w="9910" w:type="dxa"/>
            <w:tcBorders/>
            <w:vAlign w:val="center"/>
          </w:tcPr>
          <w:p>
            <w:pPr>
              <w:pStyle w:val="TableContents"/>
              <w:bidi w:val="0"/>
              <w:spacing w:before="0" w:after="283"/>
              <w:jc w:val="both"/>
              <w:rPr>
                <w:u w:val="single"/>
              </w:rPr>
            </w:pPr>
            <w:r>
              <w:rPr>
                <w:u w:val="single"/>
              </w:rPr>
              <w:t>a Lender which is beneficially entitled to interest payable to that Lender in respect of an advance under any Loan Document and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951"/>
        <w:gridCol w:w="7932"/>
      </w:tblGrid>
      <w:tr>
        <w:trPr/>
        <w:tc>
          <w:tcPr>
            <w:tcW w:w="3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u w:val="single"/>
              </w:rPr>
            </w:pPr>
            <w:r>
              <w:rPr>
                <w:u w:val="single"/>
              </w:rPr>
              <w:t>(i)</w:t>
            </w:r>
          </w:p>
        </w:tc>
        <w:tc>
          <w:tcPr>
            <w:tcW w:w="7932" w:type="dxa"/>
            <w:tcBorders/>
            <w:vAlign w:val="center"/>
          </w:tcPr>
          <w:p>
            <w:pPr>
              <w:pStyle w:val="TableContents"/>
              <w:bidi w:val="0"/>
              <w:spacing w:before="0" w:after="283"/>
              <w:jc w:val="both"/>
              <w:rPr>
                <w:u w:val="single"/>
              </w:rPr>
            </w:pPr>
            <w:r>
              <w:rPr>
                <w:u w:val="single"/>
              </w:rPr>
              <w:t>a Lender: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u w:val="single"/>
              </w:rPr>
            </w:pPr>
            <w:r>
              <w:rPr>
                <w:u w:val="single"/>
              </w:rPr>
              <w:t>(A)</w:t>
            </w:r>
          </w:p>
        </w:tc>
        <w:tc>
          <w:tcPr>
            <w:tcW w:w="9873" w:type="dxa"/>
            <w:tcBorders/>
            <w:vAlign w:val="center"/>
          </w:tcPr>
          <w:p>
            <w:pPr>
              <w:pStyle w:val="TableContents"/>
              <w:bidi w:val="0"/>
              <w:spacing w:before="0" w:after="283"/>
              <w:jc w:val="both"/>
              <w:rPr>
                <w:u w:val="single"/>
              </w:rPr>
            </w:pPr>
            <w:r>
              <w:rPr>
                <w:u w:val="single"/>
              </w:rPr>
              <w:t>which is a bank (as defined for the purpose of section 879 of the ITA) making an advance under any Loan Document and is within the charge to United Kingdom corporation tax as respects any payments of interest made in respect of that advance or would be within such charge as respects such payments apart from section 18A of the CTA;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u w:val="single"/>
              </w:rPr>
            </w:pPr>
            <w:r>
              <w:rPr>
                <w:u w:val="single"/>
              </w:rPr>
              <w:t>(B)</w:t>
            </w:r>
          </w:p>
        </w:tc>
        <w:tc>
          <w:tcPr>
            <w:tcW w:w="9885" w:type="dxa"/>
            <w:tcBorders/>
            <w:vAlign w:val="center"/>
          </w:tcPr>
          <w:p>
            <w:pPr>
              <w:pStyle w:val="TableContents"/>
              <w:bidi w:val="0"/>
              <w:spacing w:before="0" w:after="283"/>
              <w:jc w:val="both"/>
              <w:rPr>
                <w:u w:val="single"/>
              </w:rPr>
            </w:pPr>
            <w:r>
              <w:rPr>
                <w:u w:val="single"/>
              </w:rPr>
              <w:t>in respect of an advance made under any Loan Document by a person that was a bank (as defined for the purpose of section 879 of the ITA) at the time that that advance was made and within the charge to United Kingdom corporation tax as respects any payments of interest made in respect of that advance;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98"/>
        <w:gridCol w:w="8625"/>
      </w:tblGrid>
      <w:tr>
        <w:trPr/>
        <w:tc>
          <w:tcPr>
            <w:tcW w:w="18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u w:val="single"/>
              </w:rPr>
            </w:pPr>
            <w:r>
              <w:rPr>
                <w:u w:val="single"/>
              </w:rPr>
              <w:t>(ii)</w:t>
            </w:r>
          </w:p>
        </w:tc>
        <w:tc>
          <w:tcPr>
            <w:tcW w:w="8625" w:type="dxa"/>
            <w:tcBorders/>
            <w:vAlign w:val="center"/>
          </w:tcPr>
          <w:p>
            <w:pPr>
              <w:pStyle w:val="TableContents"/>
              <w:bidi w:val="0"/>
              <w:spacing w:before="0" w:after="283"/>
              <w:jc w:val="both"/>
              <w:rPr>
                <w:u w:val="single"/>
              </w:rPr>
            </w:pPr>
            <w:r>
              <w:rPr>
                <w:u w:val="single"/>
              </w:rPr>
              <w:t>a Lender which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58"/>
        <w:gridCol w:w="9698"/>
      </w:tblGrid>
      <w:tr>
        <w:trPr/>
        <w:tc>
          <w:tcPr>
            <w:tcW w:w="4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u w:val="single"/>
              </w:rPr>
            </w:pPr>
            <w:r>
              <w:rPr>
                <w:u w:val="single"/>
              </w:rPr>
              <w:t>(A)</w:t>
            </w:r>
          </w:p>
        </w:tc>
        <w:tc>
          <w:tcPr>
            <w:tcW w:w="9698" w:type="dxa"/>
            <w:tcBorders/>
            <w:vAlign w:val="center"/>
          </w:tcPr>
          <w:p>
            <w:pPr>
              <w:pStyle w:val="TableContents"/>
              <w:bidi w:val="0"/>
              <w:spacing w:before="0" w:after="283"/>
              <w:jc w:val="both"/>
              <w:rPr>
                <w:u w:val="single"/>
              </w:rPr>
            </w:pPr>
            <w:r>
              <w:rPr>
                <w:u w:val="single"/>
              </w:rPr>
              <w:t>a company resident in the United Kingdom for United Kingdom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31"/>
        <w:gridCol w:w="9280"/>
      </w:tblGrid>
      <w:tr>
        <w:trPr/>
        <w:tc>
          <w:tcPr>
            <w:tcW w:w="9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u w:val="single"/>
              </w:rPr>
            </w:pPr>
            <w:r>
              <w:rPr>
                <w:u w:val="single"/>
              </w:rPr>
              <w:t>(B)</w:t>
            </w:r>
          </w:p>
        </w:tc>
        <w:tc>
          <w:tcPr>
            <w:tcW w:w="9280" w:type="dxa"/>
            <w:tcBorders/>
            <w:vAlign w:val="center"/>
          </w:tcPr>
          <w:p>
            <w:pPr>
              <w:pStyle w:val="TableContents"/>
              <w:bidi w:val="0"/>
              <w:spacing w:before="0" w:after="283"/>
              <w:jc w:val="both"/>
              <w:rPr>
                <w:u w:val="single"/>
              </w:rPr>
            </w:pPr>
            <w:r>
              <w:rPr>
                <w:u w:val="single"/>
              </w:rPr>
              <w:t>a partnership each member of which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88"/>
        <w:gridCol w:w="9540"/>
      </w:tblGrid>
      <w:tr>
        <w:trPr/>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u w:val="single"/>
              </w:rPr>
            </w:pPr>
            <w:r>
              <w:rPr>
                <w:u w:val="single"/>
              </w:rPr>
              <w:t>(1)</w:t>
            </w:r>
          </w:p>
        </w:tc>
        <w:tc>
          <w:tcPr>
            <w:tcW w:w="9540" w:type="dxa"/>
            <w:tcBorders/>
            <w:vAlign w:val="center"/>
          </w:tcPr>
          <w:p>
            <w:pPr>
              <w:pStyle w:val="TableContents"/>
              <w:bidi w:val="0"/>
              <w:spacing w:before="0" w:after="283"/>
              <w:jc w:val="both"/>
              <w:rPr>
                <w:u w:val="single"/>
              </w:rPr>
            </w:pPr>
            <w:r>
              <w:rPr>
                <w:u w:val="single"/>
              </w:rPr>
              <w:t>a company so resident in the United Kingdom;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u w:val="single"/>
              </w:rPr>
            </w:pPr>
            <w:r>
              <w:rPr>
                <w:u w:val="single"/>
              </w:rPr>
              <w:t>(2)</w:t>
            </w:r>
          </w:p>
        </w:tc>
        <w:tc>
          <w:tcPr>
            <w:tcW w:w="9934" w:type="dxa"/>
            <w:tcBorders/>
            <w:vAlign w:val="center"/>
          </w:tcPr>
          <w:p>
            <w:pPr>
              <w:pStyle w:val="TableContents"/>
              <w:bidi w:val="0"/>
              <w:spacing w:before="0" w:after="283"/>
              <w:jc w:val="both"/>
              <w:rPr>
                <w:u w:val="single"/>
              </w:rPr>
            </w:pPr>
            <w:r>
              <w:rPr>
                <w:u w:val="single"/>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u w:val="single"/>
              </w:rPr>
            </w:pPr>
            <w:r>
              <w:rPr>
                <w:u w:val="single"/>
              </w:rPr>
              <w:t>(iii)</w:t>
            </w:r>
          </w:p>
        </w:tc>
        <w:tc>
          <w:tcPr>
            <w:tcW w:w="9871" w:type="dxa"/>
            <w:tcBorders/>
            <w:vAlign w:val="center"/>
          </w:tcPr>
          <w:p>
            <w:pPr>
              <w:pStyle w:val="TableContents"/>
              <w:bidi w:val="0"/>
              <w:spacing w:before="0" w:after="283"/>
              <w:jc w:val="both"/>
              <w:rPr>
                <w:u w:val="single"/>
              </w:rPr>
            </w:pPr>
            <w:r>
              <w:rPr>
                <w:u w:val="single"/>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337"/>
        <w:gridCol w:w="8724"/>
      </w:tblGrid>
      <w:tr>
        <w:trPr/>
        <w:tc>
          <w:tcPr>
            <w:tcW w:w="1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u w:val="single"/>
              </w:rPr>
            </w:pPr>
            <w:r>
              <w:rPr>
                <w:u w:val="single"/>
              </w:rPr>
              <w:t>(iv)</w:t>
            </w:r>
          </w:p>
        </w:tc>
        <w:tc>
          <w:tcPr>
            <w:tcW w:w="8724" w:type="dxa"/>
            <w:tcBorders/>
            <w:vAlign w:val="center"/>
          </w:tcPr>
          <w:p>
            <w:pPr>
              <w:pStyle w:val="TableContents"/>
              <w:bidi w:val="0"/>
              <w:spacing w:before="0" w:after="283"/>
              <w:jc w:val="both"/>
              <w:rPr>
                <w:u w:val="single"/>
              </w:rPr>
            </w:pPr>
            <w:r>
              <w:rPr>
                <w:u w:val="single"/>
              </w:rPr>
              <w:t>a UK Treaty Lender;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669"/>
        <w:gridCol w:w="8318"/>
      </w:tblGrid>
      <w:tr>
        <w:trPr/>
        <w:tc>
          <w:tcPr>
            <w:tcW w:w="21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u w:val="single"/>
              </w:rPr>
            </w:pPr>
            <w:r>
              <w:rPr>
                <w:u w:val="single"/>
              </w:rPr>
              <w:t>(v)</w:t>
            </w:r>
          </w:p>
        </w:tc>
        <w:tc>
          <w:tcPr>
            <w:tcW w:w="8318" w:type="dxa"/>
            <w:tcBorders/>
            <w:vAlign w:val="center"/>
          </w:tcPr>
          <w:p>
            <w:pPr>
              <w:pStyle w:val="TableContents"/>
              <w:bidi w:val="0"/>
              <w:spacing w:before="0" w:after="283"/>
              <w:jc w:val="both"/>
              <w:rPr>
                <w:u w:val="single"/>
              </w:rPr>
            </w:pPr>
            <w:r>
              <w:rPr>
                <w:u w:val="single"/>
              </w:rPr>
              <w:t>a QPP Lender.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Tax Confirmation” means a confirmation by a Lender that the person beneficially entitled to interest payable to that Lender in respect of an advance under any Loan Document is either: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3"/>
        <w:gridCol w:w="9792"/>
      </w:tblGrid>
      <w:tr>
        <w:trPr/>
        <w:tc>
          <w:tcPr>
            <w:tcW w:w="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u w:val="single"/>
              </w:rPr>
            </w:pPr>
            <w:r>
              <w:rPr>
                <w:u w:val="single"/>
              </w:rPr>
              <w:t>(a)</w:t>
            </w:r>
          </w:p>
        </w:tc>
        <w:tc>
          <w:tcPr>
            <w:tcW w:w="9792" w:type="dxa"/>
            <w:tcBorders/>
            <w:vAlign w:val="center"/>
          </w:tcPr>
          <w:p>
            <w:pPr>
              <w:pStyle w:val="TableContents"/>
              <w:bidi w:val="0"/>
              <w:spacing w:before="0" w:after="283"/>
              <w:jc w:val="both"/>
              <w:rPr>
                <w:u w:val="single"/>
              </w:rPr>
            </w:pPr>
            <w:r>
              <w:rPr>
                <w:u w:val="single"/>
              </w:rPr>
              <w:t>a company resident in the United Kingdom for United Kingdom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727"/>
        <w:gridCol w:w="9383"/>
      </w:tblGrid>
      <w:tr>
        <w:trPr/>
        <w:tc>
          <w:tcPr>
            <w:tcW w:w="9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u w:val="single"/>
              </w:rPr>
            </w:pPr>
            <w:r>
              <w:rPr>
                <w:u w:val="single"/>
              </w:rPr>
              <w:t>(b)</w:t>
            </w:r>
          </w:p>
        </w:tc>
        <w:tc>
          <w:tcPr>
            <w:tcW w:w="9383" w:type="dxa"/>
            <w:tcBorders/>
            <w:vAlign w:val="center"/>
          </w:tcPr>
          <w:p>
            <w:pPr>
              <w:pStyle w:val="TableContents"/>
              <w:bidi w:val="0"/>
              <w:spacing w:before="0" w:after="283"/>
              <w:jc w:val="both"/>
              <w:rPr>
                <w:u w:val="single"/>
              </w:rPr>
            </w:pPr>
            <w:r>
              <w:rPr>
                <w:u w:val="single"/>
              </w:rPr>
              <w:t>a partnership each member of which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72"/>
        <w:gridCol w:w="9655"/>
      </w:tblGrid>
      <w:tr>
        <w:trPr/>
        <w:tc>
          <w:tcPr>
            <w:tcW w:w="7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u w:val="single"/>
              </w:rPr>
            </w:pPr>
            <w:r>
              <w:rPr>
                <w:u w:val="single"/>
              </w:rPr>
              <w:t>(i)</w:t>
            </w:r>
          </w:p>
        </w:tc>
        <w:tc>
          <w:tcPr>
            <w:tcW w:w="9655" w:type="dxa"/>
            <w:tcBorders/>
            <w:vAlign w:val="center"/>
          </w:tcPr>
          <w:p>
            <w:pPr>
              <w:pStyle w:val="TableContents"/>
              <w:bidi w:val="0"/>
              <w:spacing w:before="0" w:after="283"/>
              <w:jc w:val="both"/>
              <w:rPr>
                <w:u w:val="single"/>
              </w:rPr>
            </w:pPr>
            <w:r>
              <w:rPr>
                <w:u w:val="single"/>
              </w:rPr>
              <w:t>a company so resident in the United Kingdom;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u w:val="single"/>
              </w:rPr>
            </w:pPr>
            <w:r>
              <w:rPr>
                <w:u w:val="single"/>
              </w:rPr>
              <w:t>(ii)</w:t>
            </w:r>
          </w:p>
        </w:tc>
        <w:tc>
          <w:tcPr>
            <w:tcW w:w="9934" w:type="dxa"/>
            <w:tcBorders/>
            <w:vAlign w:val="center"/>
          </w:tcPr>
          <w:p>
            <w:pPr>
              <w:pStyle w:val="TableContents"/>
              <w:bidi w:val="0"/>
              <w:spacing w:before="0" w:after="283"/>
              <w:jc w:val="both"/>
              <w:rPr>
                <w:u w:val="single"/>
              </w:rPr>
            </w:pPr>
            <w:r>
              <w:rPr>
                <w:u w:val="single"/>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u w:val="single"/>
              </w:rPr>
            </w:pPr>
            <w:r>
              <w:rPr>
                <w:u w:val="single"/>
              </w:rPr>
              <w:t>(c)</w:t>
            </w:r>
          </w:p>
        </w:tc>
        <w:tc>
          <w:tcPr>
            <w:tcW w:w="9945" w:type="dxa"/>
            <w:tcBorders/>
            <w:vAlign w:val="center"/>
          </w:tcPr>
          <w:p>
            <w:pPr>
              <w:pStyle w:val="TableContents"/>
              <w:bidi w:val="0"/>
              <w:spacing w:before="0" w:after="283"/>
              <w:jc w:val="both"/>
              <w:rPr>
                <w:u w:val="single"/>
              </w:rPr>
            </w:pPr>
            <w:r>
              <w:rPr>
                <w:u w:val="single"/>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Tax Deduction” shall mean a deduction or withholding imposed by the United Kingdom from payment under any Loan Document in respect of an advance to a UK Borrower for or on account of Tax in respect of a payment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Treaty Lender” shall mean a Lender which is not a QPP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is treated as a resident of a UK Treaty State for the purposes of the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does not carry on a business in the United Kingdom through a permanent establishment with which that Lender's participation in an advance pursuant to a Loan Document is effectively connected;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fulfils any other conditions which must be fulfilled under the Treaty for residents of that Treaty State to obtain exemption from United Kingdom taxation on interest payable to that Lender in respect of an advance pursuant to a Loan Document, subject to the completion of any necessary procedural formalities.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UK Treaty State” means a jurisdiction having a double taxation agreement (a "Treaty") with the United Kingdom which makes provision for full exemption from tax imposed by the United Kingdom on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US Borrower” means FirstCash,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Government Securities Business Day</w:t>
      </w:r>
      <w:r>
        <w:rPr>
          <w:rFonts w:ascii="Times New Roman;Times;Serif" w:hAnsi="Times New Roman;Times;Serif"/>
          <w:b w:val="false"/>
          <w:i w:val="false"/>
          <w:caps w:val="false"/>
          <w:smallCaps w:val="false"/>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notice requirements in </w:t>
      </w:r>
      <w:r>
        <w:rPr>
          <w:rFonts w:ascii="Times New Roman;Times;Serif" w:hAnsi="Times New Roman;Times;Serif"/>
          <w:b w:val="false"/>
          <w:i w:val="false"/>
          <w:caps w:val="false"/>
          <w:smallCaps w:val="false"/>
          <w:sz w:val="20"/>
          <w:u w:val="single"/>
        </w:rPr>
        <w:t>Sections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in each case, such day is also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u w:val="single"/>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Special Resolution </w:t>
      </w:r>
      <w:r>
        <w:rPr>
          <w:rFonts w:ascii="Times New Roman;Times;Serif" w:hAnsi="Times New Roman;Times;Serif"/>
          <w:b w:val="false"/>
          <w:i w:val="false"/>
          <w:caps w:val="false"/>
          <w:smallCaps w:val="false"/>
          <w:strike/>
          <w:color w:val="FF0000"/>
          <w:sz w:val="20"/>
          <w:u w:val="single"/>
        </w:rPr>
        <w:t>Remines</w:t>
      </w:r>
      <w:r>
        <w:rPr>
          <w:rFonts w:ascii="Times New Roman;Times;Serif" w:hAnsi="Times New Roman;Times;Serif"/>
          <w:b w:val="false"/>
          <w:i w:val="false"/>
          <w:caps w:val="false"/>
          <w:smallCaps w:val="false"/>
          <w:color w:val="0000FF"/>
          <w:sz w:val="20"/>
          <w:u w:val="single"/>
        </w:rPr>
        <w:t>Regimes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xml:space="preserve">” means, when applied to any Indebtedness at any date, the number of years obtained by dividing: (a) the </w:t>
      </w:r>
      <w:r>
        <w:rPr>
          <w:rFonts w:ascii="Times New Roman;Times;Serif" w:hAnsi="Times New Roman;Times;Serif"/>
          <w:b w:val="false"/>
          <w:i/>
          <w:caps w:val="false"/>
          <w:smallCaps w:val="false"/>
          <w:sz w:val="20"/>
          <w:u w:val="single"/>
        </w:rPr>
        <w:t>sum</w:t>
      </w:r>
      <w:r>
        <w:rPr>
          <w:rFonts w:ascii="Times New Roman;Times;Serif" w:hAnsi="Times New Roman;Times;Serif"/>
          <w:b w:val="false"/>
          <w:i w:val="false"/>
          <w:caps w:val="false"/>
          <w:smallCaps w:val="false"/>
          <w:sz w:val="20"/>
        </w:rPr>
        <w:t xml:space="preserve">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Wells Fargo</w:t>
      </w:r>
      <w:r>
        <w:rPr>
          <w:rFonts w:ascii="Times New Roman;Times;Serif" w:hAnsi="Times New Roman;Times;Serif"/>
          <w:b w:val="false"/>
          <w:i w:val="false"/>
          <w:caps w:val="false"/>
          <w:smallCaps w:val="false"/>
          <w:sz w:val="20"/>
        </w:rPr>
        <w:t>” means Wells Fargo Bank, National Association, a national banking association, in its individual capacity,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Withdrawn Certificate” means a withdrawn certificate for the purposes of the QPP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Interpretive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meanings of defined terms are equally applicable to the singular and plural forms of the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words “herein” and “hereunder” and words of similar import when used in any Loan Document shall refer to such Loan Document as a whole and not to any particular provision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“including” is by way of example and not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term “documents” includes any and all instruments, documents, agreements, certificates, notices, reports, financial statements and other writings, however evidenced.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Section headings herein and the other Loan Documents are included for convenience of reference only and shall not affect the interpretation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Notwithstanding anything to the contrary contained herein, in the event that, in connection with the consummation of any transaction (including, without limitation, the incurrence of any Indebtedness), availability under any “basket”, threshold, exception or permission set forth in this Agreement is determined by reference to the greater of (i) a fixed amount and (ii) an amount equal to a percentage of Consolidated Net Worth or Consolidated Total Assets, as applicable, the amount described in clause (ii) shall be calculated by reference to Consolidated Net Worth or Consolidated Total Assets, as the case may be, as at the date of consummation of such transaction (or the date of incurrence of such Indebtedness, as applicable), after giving pro forma effect thereto and to any transactions consummated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accounting terms not specifically or completely defined herein shall be construed in conformity with, and all financial data required to be submitted pursuant to this Agreement shall be prepared in conformity with, GAAP, applied in a manner consistent with that used in preparing the financial statements, except as otherwise specifically prescribed herein. If, after the Effective Date, there shall occur any change in GAAP from those used in the preparation of the financial statements referred to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such change shall result in a change in the method of calculation of any financial covenant, standard or term found in this Agreement, either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Required Lenders may by notice to the Lenders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respectively, require that the Lenders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negotiate in good faith to amend such covenants, standards and terms so as equitably to reflect such change in accounting principles, with the desired result being that the criteria for evaluating the financial condition of the Loan Parties and their Subsidiaries shall be the same as if such change had not been made. No delay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Required Lenders in requiring such negotiation shall limit their right to so require such a negotiation at any time after such a change in accounting principles. Until any such covenant, standard, or term is amended in accordance with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financial covenants (all related defined terms) shall be computed and determined in accordance with GAAP in effect prior to such change in accounting principles. Without limiting the generality of the foregoing,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neither be deemed to be in compliance with any covenant hereunder or out of compliance with any covenant hereunder if such state of compliance or non-compliance, as the case may be, would not exist but for the occurrence of a change in accounting principles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terms of an accounting or financial nature used herein shall be construed, and all computations of amounts and ratios referred to herein shall be made (A) without giving effect to any election under the Financial Accounting Standards Board’s Accounting Standards Codification 825-10-25 (or any other Accounting Standards Codification or Financial Accounting Standard having a similar result or effect) to value any Indebtedness or other liabilities of the Loan Parties or any of their Subsidiaries at “fair value”, as defined therein, (B) without giving effect to any treatment of Indebtedness in respect of convertible debt instruments under the Financial Accounting Standards Board’s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(C) in a manner such that any obligations relating to a lease that was accounted for by a Person as an operating lease as of the Effective Date and any operating lease entered into after the Effective Date by such Person shall be accounted for as obligations relating to an operating lease and not as Capitalized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References to Agreements and Laws</w:t>
      </w:r>
      <w:r>
        <w:rPr>
          <w:rFonts w:ascii="Times New Roman;Times;Serif" w:hAnsi="Times New Roman;Times;Serif"/>
          <w:b w:val="false"/>
          <w:i w:val="false"/>
          <w:caps w:val="false"/>
          <w:smallCaps w:val="false"/>
          <w:sz w:val="20"/>
        </w:rPr>
        <w:t>. Unless otherwise expressly provided herein, (a) references to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 xml:space="preserve">Foreign Currency </w:t>
      </w:r>
      <w:r>
        <w:rPr>
          <w:rFonts w:ascii="Times New Roman;Times;Serif" w:hAnsi="Times New Roman;Times;Serif"/>
          <w:b w:val="false"/>
          <w:i w:val="false"/>
          <w:caps w:val="false"/>
          <w:smallCaps w:val="false"/>
          <w:strike/>
          <w:color w:val="FF0000"/>
          <w:sz w:val="20"/>
          <w:u w:val="single"/>
        </w:rPr>
        <w:t>Denomination</w:t>
      </w:r>
      <w:r>
        <w:rPr>
          <w:rFonts w:ascii="Times New Roman;Times;Serif" w:hAnsi="Times New Roman;Times;Serif"/>
          <w:b w:val="false"/>
          <w:i w:val="false"/>
          <w:caps w:val="false"/>
          <w:smallCaps w:val="false"/>
          <w:color w:val="0000FF"/>
          <w:sz w:val="20"/>
          <w:u w:val="single"/>
        </w:rPr>
        <w:t>Denominations; Exchange Rates; Currency Equivalents; Alternative Currency RFR.(a)</w:t>
        <w:tab/>
        <w:t>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Foreign Currency Denominations:</w:t>
      </w:r>
      <w:r>
        <w:rPr>
          <w:rFonts w:ascii="Times New Roman;Times;Serif" w:hAnsi="Times New Roman;Times;Serif"/>
          <w:b w:val="false"/>
          <w:i w:val="false"/>
          <w:caps w:val="false"/>
          <w:smallCaps w:val="false"/>
          <w:sz w:val="20"/>
        </w:rPr>
        <w:t xml:space="preserve"> For </w:t>
      </w:r>
      <w:r>
        <w:rPr>
          <w:rFonts w:ascii="Times New Roman;Times;Serif" w:hAnsi="Times New Roman;Times;Serif"/>
          <w:b w:val="false"/>
          <w:i w:val="false"/>
          <w:caps w:val="false"/>
          <w:smallCaps w:val="false"/>
          <w:strike/>
          <w:color w:val="FF0000"/>
          <w:sz w:val="20"/>
        </w:rPr>
        <w:t>purpose</w:t>
      </w:r>
      <w:r>
        <w:rPr>
          <w:rFonts w:ascii="Times New Roman;Times;Serif" w:hAnsi="Times New Roman;Times;Serif"/>
          <w:b w:val="false"/>
          <w:i w:val="false"/>
          <w:caps w:val="false"/>
          <w:smallCaps w:val="false"/>
          <w:color w:val="0000FF"/>
          <w:sz w:val="20"/>
          <w:u w:val="single"/>
        </w:rPr>
        <w:t>purposes</w:t>
      </w:r>
      <w:r>
        <w:rPr>
          <w:rFonts w:ascii="Times New Roman;Times;Serif" w:hAnsi="Times New Roman;Times;Serif"/>
          <w:b w:val="false"/>
          <w:i w:val="false"/>
          <w:caps w:val="false"/>
          <w:smallCaps w:val="false"/>
          <w:sz w:val="20"/>
        </w:rPr>
        <w:t xml:space="preserve"> of determining compliance with any Dollar-denominated restriction on Indebtedness, Liens, Investments, Acquisitions or dispositions of Property, the </w:t>
      </w:r>
      <w:r>
        <w:rPr>
          <w:rFonts w:ascii="Times New Roman;Times;Serif" w:hAnsi="Times New Roman;Times;Serif"/>
          <w:b w:val="false"/>
          <w:i w:val="false"/>
          <w:caps w:val="false"/>
          <w:smallCaps w:val="false"/>
          <w:strike/>
          <w:color w:val="FF0000"/>
          <w:sz w:val="20"/>
        </w:rPr>
        <w:t>Dollar-equivalent</w:t>
      </w:r>
      <w:r>
        <w:rPr>
          <w:rFonts w:ascii="Times New Roman;Times;Serif" w:hAnsi="Times New Roman;Times;Serif"/>
          <w:b w:val="false"/>
          <w:i w:val="false"/>
          <w:caps w:val="false"/>
          <w:smallCaps w:val="false"/>
          <w:color w:val="0000FF"/>
          <w:sz w:val="20"/>
          <w:u w:val="single"/>
        </w:rPr>
        <w:t>Dollar Equivalent</w:t>
      </w:r>
      <w:r>
        <w:rPr>
          <w:rFonts w:ascii="Times New Roman;Times;Serif" w:hAnsi="Times New Roman;Times;Serif"/>
          <w:b w:val="false"/>
          <w:i w:val="false"/>
          <w:caps w:val="false"/>
          <w:smallCaps w:val="false"/>
          <w:sz w:val="20"/>
        </w:rPr>
        <w:t xml:space="preserve"> amount of such transaction denominated in a foreign currency shall be calculated based on the relevant currency exchange rate in effect on the date such transaction was entered into (or, in the case of term debt, incurred, or in the case of revolving credit debt, first committed),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w:t>
      </w:r>
      <w:r>
        <w:rPr>
          <w:rFonts w:ascii="Times New Roman;Times;Serif" w:hAnsi="Times New Roman;Times;Serif"/>
          <w:b w:val="false"/>
          <w:i w:val="false"/>
          <w:caps w:val="false"/>
          <w:smallCaps w:val="false"/>
          <w:strike/>
          <w:color w:val="FF0000"/>
          <w:sz w:val="20"/>
        </w:rPr>
        <w:t>of</w:t>
      </w:r>
      <w:r>
        <w:rPr>
          <w:rFonts w:ascii="Times New Roman;Times;Serif" w:hAnsi="Times New Roman;Times;Serif"/>
          <w:b w:val="false"/>
          <w:i w:val="false"/>
          <w:caps w:val="false"/>
          <w:smallCaps w:val="false"/>
          <w:color w:val="0000FF"/>
          <w:sz w:val="20"/>
          <w:u w:val="single"/>
        </w:rPr>
        <w:t>on</w:t>
      </w:r>
      <w:r>
        <w:rPr>
          <w:rFonts w:ascii="Times New Roman;Times;Serif" w:hAnsi="Times New Roman;Times;Serif"/>
          <w:b w:val="false"/>
          <w:i w:val="false"/>
          <w:caps w:val="false"/>
          <w:smallCaps w:val="false"/>
          <w:sz w:val="20"/>
        </w:rPr>
        <w:t xml:space="preserve"> the date of such refinancing, such Dollar-denominated restriction shall be deemed not to have been exceeded so long as the principal amount of such refinancing Indebtedness does not exceed the amount necessary to refinance the principal amount of such Indebtedness being refinanced. </w:t>
      </w:r>
      <w:r>
        <w:rPr>
          <w:rFonts w:ascii="Times New Roman;Times;Serif" w:hAnsi="Times New Roman;Times;Serif"/>
          <w:b w:val="false"/>
          <w:i w:val="false"/>
          <w:caps w:val="false"/>
          <w:smallCaps w:val="false"/>
          <w:color w:val="0000FF"/>
          <w:sz w:val="20"/>
          <w:u w:val="single"/>
        </w:rPr>
        <w:t>(b)</w:t>
        <w:tab/>
        <w:t>     Exchange Rates; Currency Equivalents; Alternative Currency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Agent shall determine the Dollar Equivalent amount of each extension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Currency (other than Dollars) for purposes of the Loan Documents shall be such Dollar Equivalent amount as so determined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Wherever in this Agreement in connection with a borrowing, conversion, continuation or prepayment of any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Notwithstanding the foregoing provisions of this Section 1.6(b) or any other provision of this Agreement, each L/C Issuer may compute the Dollar Equivalent of the maximum amount of each applicable Letter of Credit issued by such L/C Issuer by reference to exchange rates determined using any reasonable method customarily employed by such L/C Issuer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Notwithstanding the foregoing provisions of this Section 1.6 or any other provision of this Agreement, in connection with Alternative Currency RFR Advances for a particular Borrower, the Spot Rate on each date of borrowing by such Borrower shall be the Spot Rate in effect as of the Revaluation Date applicable to the first borrowing of any such Alternative Currency RFR Advance by such Borrower in such Alternative Currency (or, if applicable, any later Revaluation Date pursuant to clause (a)(iii) of the definition of “Revaluation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Rates</w:t>
      </w:r>
      <w:r>
        <w:rPr>
          <w:rFonts w:ascii="Times New Roman;Times;Serif" w:hAnsi="Times New Roman;Times;Serif"/>
          <w:b w:val="false"/>
          <w:i w:val="false"/>
          <w:caps w:val="false"/>
          <w:smallCaps w:val="false"/>
          <w:sz w:val="20"/>
        </w:rPr>
        <w:t xml:space="preserve">. The Agent does not warrant or accept any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xml:space="preserve">,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1.9</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Designation of Additional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Borrower Representative may from time to time request that one or more Subsidiaries organized in an Approved Jurisdiction become an Additional Borrower and/or an Additional Guarantor hereunder by delivering to the Agent each of the following, in each case in form and substance reasonably satisfactory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 written notice of such request, executed by the Borrower Representative and such proposed Additional Loan Party, at least fifteen (15) Business Days prior to the proposed effective date of such joinder, or such shorter period as the Agent may agree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(ii) all documentation and other information with respect to such proposed Additional Loan Party requested by the Agent or any Lender in order to comply with requirements of the Patriot Act, applicable “know your customer” and beneficial ownership and anti-money laundering rules and regulations, in each case at least five (5) Business Days prior to the proposed effective date of such joinder, or such later date as the Agent may agree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(iii) a joinder agreement, in form and substance reasonably satisfactory to the Agent, pursuant to which such proposed Additional Loan Party shall become, as applicable, an Additional Borrower and a Borrower and/or an Additional Guarantor and a Loan Guarantor, in each case a Loan Party under this Agreement and the other Loan Documents, and, if such proposed Additional Loan Party is an Additional Borrower, appoints the Borrower Representative as its agent and representative for all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(iv) organizational documents, governing documents, authorizing resolutions or other authorizing actions, incumbency certificates and certificates of good standing, existence or the equivalent, in each case with respect to such proposed Additional Loan Party and substantially consistent with the corresponding documents required to be delivered by Loan Parties under Section 4.2 or otherwise reasonably requested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 an opinion or opinions (including, if requested by the Agent, opinions of in-house counsel and local counsel) of counsel to such proposed Additional Loan Party, dated the date of such joinder and addressed to the Agent and the Lenders, in form and substance reasonably acceptable to the Agent (which shall include, without limitation, opinions with respect to the due organization and valid existence of such proposed Additional Loan Party, non-contravention of such proposed Additional Loan Party’s organizational documents and such other matters as the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(vi) an officer’s certificate of an Authorized Officer of the Borrower Representative certifying that, immediately before and after giving effect to such joinder, no Default or Unmatured Default exists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(vii) if such proposed Additional Loan Party is an Additional Borrower and if requested by any Lender pursuant to Section 2.13, Notes executed by such proposed Additional Borrower in favor of such requesting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(viii) updated schedules to the applicable Loan Documents to reflect such proposed Additional Loan Party and such other updates as the Agent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 No Subsidiary shall become an Additional Borrower unless (x) the Agent and the Lenders, in their sole and absolute discretion, shall have consented in writing to such joinder and (y) such Subsidiary is organized in an Approved Jurisdiction. No Subsidiary shall become an Additional Guarantor unless such Subsidiary is organized in an Approved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(ii) Following receipt by the Agent of the items described in Section 1.9(a) and the written approval thereof, the joinder of such Additional Loan Party shall become effective only upon the execution and effectiveness of a joinder agreement and, if determined by the Agent to be necessary or advisable, an amendment to this Agreement and/or any other Loan Document, in each case in form and substance reasonably satisfactory to the Agent, to give effect to such joinder, including any amendments necessary to address references to the “Borrowers,” the “Borrower Representative,” “Loan Parties,” “Obligations,” borrowing mechanics, tax provisions, notice provisions, jurisdiction provisions, Alternative Currency Borrower status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 Upon the effectiveness of any joinder pursuant to this Section 1.9, each Additional Borrower shall be a “Borrower,” a “Loan Party” and one of the “Borrowers” for all purposes of this Agreement and the other Loan Documents, and each Additional Guarantor shall be a “Loan Guarantor” and a “Loan Party” for all purposes of this Agreement and the other Loan Documents. Without limiting Section 2.26, each Borrower, including each Additional Borrower, shall be jointly and severally liable as a primary obligor for all Obligations, including all Obligations of each other Borrower, whether arising before, on or after the date such Additional Borrower becomes a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 Notwithstanding anything herein to the contrary, in connection with the joinder of any Subsidiary organized under the laws of an EEA Member Country as an Additional Borrower (an “EEA Borrower”), the Agent shall promptly notify each Lender in writing of such proposed joinder following receipt of the items described in Section 1.9(a). Each Lender may then elect, in its sole discretion, not to make Loans to, or acquire or participate in any L/C Obligations issued for the account of, such EEA Borrower by delivering to the Agent and the Borrower Representative a written notice of such election (an “EEA Opt-Out Notice”) on or before the date that is ten (10) Business Days after such Lender’s receipt of the Agent’s notice of the proposed joinder (or such later date as the Agent may agree in its sole discretion). Each Lender that timely delivers an EEA Opt-Out Notice with respect to an EEA Borrower (a “Non-EEA Lender”) shall have no obligation to make Loans to, or to acquire or participate in any L/C Obligations issued for the account of, such EEA Borrower, and no portion of such Non-EEA Lender’s Commitment shall be available to fund any extension of credit to such EEA Borrower; provided that each Non-EEA Lender shall remain obligated in respect of its Commitment with respect to all other Borrowers. Any Lender that does not timely deliver an EEA Opt-Out Notice with respect to an EEA Borrower shall be deemed to have consented to make Loans to, and to acquire and participate in L/C Obligations issued for the account of, such EEA Borrower on the terms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 If, in connection with the joinder of any EEA Borrower, one or more Lenders deliver an EEA Opt-Out Notice pursuant to Section 1.9(d), the Agent and the Borrower Representative shall be permitted to, without the consent of any other Lender or any other Person, amend this Agreement and the other Loan Documents to establish a separate sub-tranche of Commitments applicable solely to extensions of credit to such EEA Borrower (an “EEA Sub-Tranche”), to be held ratably by the Lenders other than the Non-EEA Lenders with respect to such EEA Borrower, and to make such other conforming changes to this Agreement, including the Commitment Schedule and to provisions hereof governing the funding, repayment and voting rights applicable to such EEA Sub-Tranche, as the Agent reasonably determines to be necessary or appropriate to give effect to the foregoing, in a manner consistent with the treatment of the Alternative Currency Commitments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1.10</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Limited Condition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Notwithstanding anything to the contrary in this Agreement, if the Borrower Representative designates a proposed Permitted Acquisition or similar Permitted Investment as a Limited Condition Transaction and notifies the Agent in writing that the Borrowers wish to test the conditions to the applicable Incremental Term Loan Facility in accordance with this Section 1.10, then, solely for purposes of such Incremental Term Loan Facility and solely to finance such Limited Condition Transaction with proceeds of Incremental Term Loans, the following provisions shall apply. For the avoidance of doubt, this Section 1.10 shall not apply to, modify or condition the availability of the Senior Credit Facility, any Revolving Facility Increase, any Loan under the revolving credit facility, any Swingline Loan, any Letter of Credit, any Alternative Currency Loan or any other extension of credit other than the applicable 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No Default. Any condition to such Limited Condition Transaction or the related Incremental Term Loan Facility requiring that no Default or Unmatured Default shall have occurred and be continuing shall be satisfied if (i) no Default or Unmatured Default shall have occurred and be continuing on the LCT Test Date and (ii) no Payment Event of Default or Bankruptcy Event of Default shall have occurred and be continuing both (x) immediately before and (y) immediately after giving effect to the consummation of such Limited Condition Transaction and the incurrence of the related 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Representations. Any condition to such Limited Condition Transaction or the related Incremental Term Loan Facility that the representations and warranties in this Agreement or any other Loan Document shall be true and correct at the time of consummation of such Limited Condition Transaction or the incurrence of the related Incremental Term Loans shall be deemed satisfied if (i) such representations and warranties are true and correct in all material respects on the LCT Test Date, except that any representation and warranty that contains a materiality qualification shall be true and correct in all respects and any representation and warranty that speaks as of an earlier date shall remain true and correct as of such earlier date, and (ii) as of the date of consummation of such Limited Condition Transaction, (A) the representations and warranties under the definitive agreement governing such Limited Condition Transaction that are material to the Incremental Term Loan Lenders shall be true and correct, but only to the extent that the applicable Loan Party has the right to terminate its obligations under such definitive agreement or otherwise decline to close as a result of a breach of such representations and warranties or the failure of such representations and warranties to be true and correct, and (B) the representations and warranties in this Agreement and the other Loan Documents that are customary for similar “funds certain” financings and specified in the applicable Incremental Term Loan Amendment shall be true and correct in all material respects, except that any such representation and warranty that contains a materiality qualification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Financial Ratio Testing. The Leverage Ratio requirement set forth in Section 2.24(II)(d)(iv) and any other applicable basket or permission (solely to the extent such basket or permission is utilized or relied upon in connection with a Limited Condition Transaction in accordance with the terms of this Agreement), shall be tested as of the LCT Test Date, after giving pro forma effect to the applicable Limited Condition Transaction, the establishment and incurrence of the related Incremental Term Loans and the use of proceeds thereof. For the avoidance of doubt, such ratio, basket or other permission shall not be retested at the time of consummation of such Limited Condition Transaction, and if any such ratio, basket or permission is exceeded after the LCT Test Date but before the consummation of such Limited Condition Transaction as a result of fluctuations in such ratio, test, percentage-based basket or other basket or amount, including fluctuations in Consolidated EBITDA of the Loan Parties and their Subsidiaries or the Person or assets being acquired, such ratio, basket or permission shall not be deemed to have been exceeded solely for purposes of determining whether the applicable Incremental Term Loan Facility may be established or incurred to finance such Limited Condition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Subsequent Calculations. Except as provided in the next sentence, for any subsequent calculation of any ratio or basket on or after the LCT Test Date and before the earlier of the date on which such Limited Condition Transaction is consummated and the date on which the definitive agreement for such Limited Condition Transaction is terminated or expires without consummation, such ratio or basket shall be calculated both (i) on a pro forma basis assuming such Limited Condition Transaction and the related transactions, including the incurrence of the Incremental Term Loans, have been consummated and (ii) assuming such Limited Condition Transaction and related transactions have not been consummated. Notwithstanding the foregoing, any calculation of a ratio for purposes of determining the Applicable Margin or determining compliance with Section 6.19 shall be calculated assuming such Limited Condition Transaction and related transactions have not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Multiple Transactions. The provisions of this Section 1.10 shall apply with similar effect during the pendency of multiple Limited Condition Transactions, such that each possible scenario is separately tested. Nothing in this Section 1.10 shall permit the proceeds of any Incremental Term Loan to be used for any purpose other than the purposes expressly permitted by Section 2.24(II) or waive any condition applicable to the Senior Credit Facility, Swingline Loans, Letters of Credit, Alternative Currency Loans or any other extension of credit other than the applicable 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From and including the Closing Date </w:t>
      </w:r>
      <w:r>
        <w:rPr>
          <w:rFonts w:ascii="Times New Roman;Times;Serif" w:hAnsi="Times New Roman;Times;Serif"/>
          <w:b w:val="false"/>
          <w:i w:val="false"/>
          <w:caps w:val="false"/>
          <w:smallCaps w:val="false"/>
          <w:color w:val="0000FF"/>
          <w:sz w:val="20"/>
          <w:u w:val="single"/>
        </w:rPr>
        <w:t xml:space="preserve">(or, solely in respect of the Alternative Currency Commitments, the Tenth Amendment Effective Date) </w:t>
      </w:r>
      <w:r>
        <w:rPr>
          <w:rFonts w:ascii="Times New Roman;Times;Serif" w:hAnsi="Times New Roman;Times;Serif"/>
          <w:b w:val="false"/>
          <w:i w:val="false"/>
          <w:caps w:val="false"/>
          <w:smallCaps w:val="false"/>
          <w:sz w:val="20"/>
        </w:rPr>
        <w:t xml:space="preserve">and prior to the Facility Termination Date, </w:t>
      </w:r>
      <w:r>
        <w:rPr>
          <w:rFonts w:ascii="Times New Roman;Times;Serif" w:hAnsi="Times New Roman;Times;Serif"/>
          <w:b w:val="false"/>
          <w:i w:val="false"/>
          <w:caps w:val="false"/>
          <w:smallCaps w:val="false"/>
          <w:color w:val="0000FF"/>
          <w:sz w:val="20"/>
          <w:u w:val="single"/>
        </w:rPr>
        <w:t>(x) </w:t>
      </w:r>
      <w:r>
        <w:rPr>
          <w:rFonts w:ascii="Times New Roman;Times;Serif" w:hAnsi="Times New Roman;Times;Serif"/>
          <w:b w:val="false"/>
          <w:i w:val="false"/>
          <w:caps w:val="false"/>
          <w:smallCaps w:val="false"/>
          <w:sz w:val="20"/>
        </w:rPr>
        <w:t xml:space="preserve">each Lender severally, but not jointly, agrees, on the terms and conditions set forth in this Agreement, to make Loans </w:t>
      </w:r>
      <w:r>
        <w:rPr>
          <w:rFonts w:ascii="Times New Roman;Times;Serif" w:hAnsi="Times New Roman;Times;Serif"/>
          <w:b w:val="false"/>
          <w:i w:val="false"/>
          <w:caps w:val="false"/>
          <w:smallCaps w:val="false"/>
          <w:strike/>
          <w:color w:val="FF0000"/>
          <w:sz w:val="20"/>
        </w:rPr>
        <w:t>to the Borrower</w:t>
      </w:r>
      <w:r>
        <w:rPr>
          <w:rFonts w:ascii="Times New Roman;Times;Serif" w:hAnsi="Times New Roman;Times;Serif"/>
          <w:b w:val="false"/>
          <w:i w:val="false"/>
          <w:caps w:val="false"/>
          <w:smallCaps w:val="false"/>
          <w:color w:val="0000FF"/>
          <w:sz w:val="20"/>
          <w:u w:val="single"/>
        </w:rPr>
        <w:t>(other than Swingline Loans) in Dollars to the Borrowers (other than the UK Borrowers)</w:t>
      </w:r>
      <w:r>
        <w:rPr>
          <w:rFonts w:ascii="Times New Roman;Times;Serif" w:hAnsi="Times New Roman;Times;Serif"/>
          <w:b w:val="false"/>
          <w:i w:val="false"/>
          <w:caps w:val="false"/>
          <w:smallCaps w:val="false"/>
          <w:sz w:val="20"/>
        </w:rPr>
        <w:t xml:space="preserve"> from time to time in amounts not to exceed in the aggregate at any one time outstanding the amount of its Commitment </w:t>
      </w:r>
      <w:r>
        <w:rPr>
          <w:rFonts w:ascii="Times New Roman;Times;Serif" w:hAnsi="Times New Roman;Times;Serif"/>
          <w:b w:val="false"/>
          <w:i w:val="false"/>
          <w:caps w:val="false"/>
          <w:smallCaps w:val="false"/>
          <w:color w:val="0000FF"/>
          <w:sz w:val="20"/>
          <w:u w:val="single"/>
        </w:rPr>
        <w:t>and (y) each Alternative Currency Lender severally, but not jointly, agrees, on the terms and conditions set forth in this Agreement, to make Alternative Currency Loans in Non-USD Approved Currencies to Alternative Currency Borrowers from time to time in amounts not to exceed in the aggregate at any one time outstanding the amount of its Alternative Currency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 with regard to each Lender individually, </w:t>
      </w:r>
      <w:r>
        <w:rPr>
          <w:rFonts w:ascii="Times New Roman;Times;Serif" w:hAnsi="Times New Roman;Times;Serif"/>
          <w:b w:val="false"/>
          <w:i w:val="false"/>
          <w:caps w:val="false"/>
          <w:smallCaps w:val="false"/>
          <w:strike/>
          <w:color w:val="FF0000"/>
          <w:sz w:val="20"/>
        </w:rPr>
        <w:t xml:space="preserve">the </w:t>
      </w:r>
      <w:r>
        <w:rPr>
          <w:rFonts w:ascii="Times New Roman;Times;Serif" w:hAnsi="Times New Roman;Times;Serif"/>
          <w:b w:val="false"/>
          <w:i/>
          <w:caps w:val="false"/>
          <w:smallCaps w:val="false"/>
          <w:strike/>
          <w:color w:val="FF0000"/>
          <w:sz w:val="20"/>
          <w:u w:val="single"/>
        </w:rPr>
        <w:t>sum</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of </w:t>
      </w:r>
      <w:r>
        <w:rPr>
          <w:rFonts w:ascii="Times New Roman;Times;Serif" w:hAnsi="Times New Roman;Times;Serif"/>
          <w:b w:val="false"/>
          <w:i w:val="false"/>
          <w:caps w:val="false"/>
          <w:smallCaps w:val="false"/>
          <w:sz w:val="20"/>
        </w:rPr>
        <w:t xml:space="preserve">such Lender’s </w:t>
      </w:r>
      <w:r>
        <w:rPr>
          <w:rFonts w:ascii="Times New Roman;Times;Serif" w:hAnsi="Times New Roman;Times;Serif"/>
          <w:b w:val="false"/>
          <w:i w:val="false"/>
          <w:caps w:val="false"/>
          <w:smallCaps w:val="false"/>
          <w:strike/>
          <w:color w:val="FF0000"/>
          <w:sz w:val="20"/>
        </w:rPr>
        <w:t xml:space="preserve">Pro Rata Share of the aggregate principal amount of outstanding Loans </w:t>
      </w:r>
      <w:r>
        <w:rPr>
          <w:rFonts w:ascii="Times New Roman;Times;Serif" w:hAnsi="Times New Roman;Times;Serif"/>
          <w:b w:val="false"/>
          <w:i/>
          <w:caps w:val="false"/>
          <w:smallCaps w:val="false"/>
          <w:strike/>
          <w:color w:val="FF0000"/>
          <w:sz w:val="20"/>
          <w:u w:val="single"/>
        </w:rPr>
        <w:t>plus</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such Lender’s Pro Rata Share of outstanding L/C Obligations</w:t>
      </w:r>
      <w:r>
        <w:rPr>
          <w:rFonts w:ascii="Times New Roman;Times;Serif" w:hAnsi="Times New Roman;Times;Serif"/>
          <w:b w:val="false"/>
          <w:i w:val="false"/>
          <w:caps w:val="false"/>
          <w:smallCaps w:val="false"/>
          <w:color w:val="0000FF"/>
          <w:sz w:val="20"/>
          <w:u w:val="single"/>
        </w:rPr>
        <w:t>Committed Funded Exposure</w:t>
      </w:r>
      <w:r>
        <w:rPr>
          <w:rFonts w:ascii="Times New Roman;Times;Serif" w:hAnsi="Times New Roman;Times;Serif"/>
          <w:b w:val="false"/>
          <w:i w:val="false"/>
          <w:caps w:val="false"/>
          <w:smallCaps w:val="false"/>
          <w:sz w:val="20"/>
        </w:rPr>
        <w:t xml:space="preserve"> shall not exceed such Lender’s Commitment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(ii) with regard </w:t>
      </w:r>
      <w:r>
        <w:rPr>
          <w:rFonts w:ascii="Times New Roman;Times;Serif" w:hAnsi="Times New Roman;Times;Serif"/>
          <w:b w:val="false"/>
          <w:i w:val="false"/>
          <w:caps w:val="false"/>
          <w:smallCaps w:val="false"/>
          <w:color w:val="0000FF"/>
          <w:sz w:val="20"/>
          <w:u w:val="single"/>
        </w:rPr>
        <w:t xml:space="preserve">to each Alternative Currency Lender individually, such Alternative Currency Lender’s Alternative Currency Exposure shall not exceed such Lender’s Alternative Currency Commitment, (iii) with regard </w:t>
      </w:r>
      <w:r>
        <w:rPr>
          <w:rFonts w:ascii="Times New Roman;Times;Serif" w:hAnsi="Times New Roman;Times;Serif"/>
          <w:b w:val="false"/>
          <w:i w:val="false"/>
          <w:caps w:val="false"/>
          <w:smallCaps w:val="false"/>
          <w:sz w:val="20"/>
        </w:rPr>
        <w:t xml:space="preserve">to the Lenders collectively, the </w:t>
      </w:r>
      <w:r>
        <w:rPr>
          <w:rFonts w:ascii="Times New Roman;Times;Serif" w:hAnsi="Times New Roman;Times;Serif"/>
          <w:b w:val="false"/>
          <w:i/>
          <w:caps w:val="false"/>
          <w:smallCaps w:val="false"/>
          <w:sz w:val="20"/>
          <w:u w:val="single"/>
        </w:rPr>
        <w:t>sum</w:t>
      </w:r>
      <w:r>
        <w:rPr>
          <w:rFonts w:ascii="Times New Roman;Times;Serif" w:hAnsi="Times New Roman;Times;Serif"/>
          <w:b w:val="false"/>
          <w:i w:val="false"/>
          <w:caps w:val="false"/>
          <w:smallCaps w:val="false"/>
          <w:sz w:val="20"/>
        </w:rPr>
        <w:t xml:space="preserve"> of the aggregate principal amount of outstanding Loans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outstanding L/C Obligations shall not exceed the Aggregate Commitment then in effect </w:t>
      </w:r>
      <w:r>
        <w:rPr>
          <w:rFonts w:ascii="Times New Roman;Times;Serif" w:hAnsi="Times New Roman;Times;Serif"/>
          <w:b w:val="false"/>
          <w:i w:val="false"/>
          <w:caps w:val="false"/>
          <w:smallCaps w:val="false"/>
          <w:color w:val="0000FF"/>
          <w:sz w:val="20"/>
          <w:u w:val="single"/>
        </w:rPr>
        <w:t>and (iv) the Dollar Equivalent of the aggregate outstanding amount of all Loans and L/C Obligations denominated in Alternative Currencies shall not exceed the Alternative Currency Sublimit (provided that the sum of (x) the Dollar Equivalent of the aggregate outstanding amount of all L/C Obligations denominated in Alternative Currencies and (y) the outstanding L/C Obligations denominated in Dollars shall not, collectively, exceed the Letter of Credit Sublimit)</w:t>
      </w:r>
      <w:r>
        <w:rPr>
          <w:rFonts w:ascii="Times New Roman;Times;Serif" w:hAnsi="Times New Roman;Times;Serif"/>
          <w:b w:val="false"/>
          <w:i w:val="false"/>
          <w:caps w:val="false"/>
          <w:smallCaps w:val="false"/>
          <w:sz w:val="20"/>
        </w:rPr>
        <w:t xml:space="preserve">. Subject to the terms of this Agreement,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borrow, repay and reborrow at any time prior to the Facility Termination Date. The Commitments to lend hereunder shall become effective on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Tenth Amendment Effective</w:t>
      </w:r>
      <w:r>
        <w:rPr>
          <w:rFonts w:ascii="Times New Roman;Times;Serif" w:hAnsi="Times New Roman;Times;Serif"/>
          <w:b w:val="false"/>
          <w:i w:val="false"/>
          <w:caps w:val="false"/>
          <w:smallCaps w:val="false"/>
          <w:sz w:val="20"/>
        </w:rPr>
        <w:t xml:space="preserve"> Date and shall expire on the Facility Termination Date. </w:t>
      </w:r>
      <w:r>
        <w:rPr>
          <w:rFonts w:ascii="Times New Roman;Times;Serif" w:hAnsi="Times New Roman;Times;Serif"/>
          <w:b w:val="false"/>
          <w:i w:val="false"/>
          <w:caps w:val="false"/>
          <w:smallCaps w:val="false"/>
          <w:color w:val="0000FF"/>
          <w:sz w:val="20"/>
          <w:u w:val="single"/>
        </w:rPr>
        <w:t>For the avoidance of doubt, and notwithstanding anything herein to the contrary, (x) no Lender that is not an Alternative Currency Lender shall have any obligation to make, maintain, fund, participate in or otherwise acquire any interest in any Alternative Currency Loan and (y) no Lender other than the Swingline Lender shall have any obligation to make Swingline Loans, except for each Lender’s obligations to fund CB Floating Rate Advances or participations in respect of Swingline Loans as expressly provided in this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 xml:space="preserve">Availability. Subject to the terms and conditions of this Agreement and the other Loan Documents, the Swingline Lender may, in its sole discretion, make Swingline Loans in Dollars to the US Borrower from time to time from the Tenth Amendment Effective Date to, but not including, the Facility Termination Date; provided that (i) after giving effect to any amount requested, the </w:t>
      </w:r>
      <w:r>
        <w:rPr>
          <w:rFonts w:ascii="Times New Roman;Times;Serif" w:hAnsi="Times New Roman;Times;Serif"/>
          <w:b w:val="false"/>
          <w:i/>
          <w:caps w:val="false"/>
          <w:smallCaps w:val="false"/>
          <w:color w:val="0000FF"/>
          <w:sz w:val="20"/>
          <w:u w:val="single"/>
        </w:rPr>
        <w:t>sum</w:t>
      </w:r>
      <w:r>
        <w:rPr>
          <w:rFonts w:ascii="Times New Roman;Times;Serif" w:hAnsi="Times New Roman;Times;Serif"/>
          <w:b w:val="false"/>
          <w:i w:val="false"/>
          <w:caps w:val="false"/>
          <w:smallCaps w:val="false"/>
          <w:color w:val="0000FF"/>
          <w:sz w:val="20"/>
          <w:u w:val="single"/>
        </w:rPr>
        <w:t xml:space="preserve"> of the aggregate principal amount of outstanding Loans </w:t>
      </w:r>
      <w:r>
        <w:rPr>
          <w:rFonts w:ascii="Times New Roman;Times;Serif" w:hAnsi="Times New Roman;Times;Serif"/>
          <w:b w:val="false"/>
          <w:i/>
          <w:caps w:val="false"/>
          <w:smallCaps w:val="false"/>
          <w:color w:val="0000FF"/>
          <w:sz w:val="20"/>
          <w:u w:val="single"/>
        </w:rPr>
        <w:t>plus</w:t>
      </w:r>
      <w:r>
        <w:rPr>
          <w:rFonts w:ascii="Times New Roman;Times;Serif" w:hAnsi="Times New Roman;Times;Serif"/>
          <w:b w:val="false"/>
          <w:i w:val="false"/>
          <w:caps w:val="false"/>
          <w:smallCaps w:val="false"/>
          <w:color w:val="0000FF"/>
          <w:sz w:val="20"/>
          <w:u w:val="single"/>
        </w:rPr>
        <w:t xml:space="preserve"> outstanding L/C Obligations shall not exceed the Aggregate Commitment then in effect and (ii) the aggregate principal amount of all outstanding Swingline Loans (after giving effect to any amount requested) shall not exceed the Swingline Commitment. Notwithstanding any provision herein to the contrary, the Swingline Lender and the US Borrower may agree that the Swingline Facility may be used to automatically draw and repay Swingline Loans (subject to the limitations set forth herein) pursuant to cash management arrangements between the US Borrower and the Swingline Lender (the “Sweep Arrangement”). Principal and interest on Swingline Loans deemed requested pursuant to the Sweep Arrangement shall be paid pursuant to the terms and conditions agreed to between the US Borrower and the Swingline Lender (without any deduction, setoff or counterclaim whatsoever). The borrowing and disbursement provisions set forth in Section 2.8 and any other provision hereof with respect to the timing or amount of payments on the Swingline Loans (other than Section 2.7) shall not be applicable to Swingline Loans made and prepaid pursuant to the Sweep Arrangement. Unless sooner paid pursuant to the provisions hereof or the provisions of the Sweep Arrangement, the principal amount of the Swingline Loans shall be paid in full, together with accrued interest thereon, on the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Refunding.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Swingline Lender, at any time and from time to time in its sole and absolute discretion may, on behalf of the US Borrower (which hereby irrevocably directs the Swingline Lender to act on its behalf), by written notice given no later than 11:00 a.m. (Fort Worth, Texas time) on any Business Day request each Lender to make, and each Lender hereby agrees to make, a CB Floating Rate Advance in Dollars in an amount equal to such Lender’s Pro Rata Share of the aggregate amount of the Swingline Loans outstanding on the date of such notice, to repay the Swingline Lender. Each Lender shall make the amount of such CB Floating Rate Advance available to the Agent in immediately available funds at the Agent’s address specified pursuant to Article XIII or such other office as the Agent may designate not later than 1:00 p.m. (Fort Worth, Texas time) on the day specified in such notice. The proceeds of such CB Floating Rate Advances shall be immediately made available by the Agent to the Swingline Lender for application by the Swingline Lender to the repayment of the Swingline Loans. No Lender’s obligation to fund its Pro Rata Share of a Swingline Loan shall be affected by any other Lender’s failure to fund its Pro Rata Share of a Swingline Loan, nor shall any Lender’s Pro Rata Share be increased as a result of any such failure of any other Lender to fund its Pro Rata Share of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Borrowers shall pay to the Swingline Lender on demand, and in any event on the Facility Termination Date, in immediately available funds the amount of such Swingline Loans to the extent amounts received from the Lenders are not sufficient to repay in full the outstanding Swingline Loans requested or required to be refunded. In addition, the Borrowers irrevocably authorize the Agent to charge any account maintained by any Borrower with the Swingline Lender (up to the amount available therein) in order to immediately pay the Swingline Lender the amount of such Swingline Loans to the extent amounts received from the Lenders are not sufficient to repay in full the outstanding Swingline Loans requested or required to be refunded. If any portion of any such amount paid to the Swingline Lender shall be recovered by or on behalf of any Borrower from the Swingline Lender in bankruptcy or otherwise, the loss of the amount so recovered shall be ratably shared among all the Lenders in accordance with their respective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If for any reason any Swingline Loan cannot be refinanced with a CB Floating Rate Advance pursuant to Section 2.1(c)(i), each Lender shall, on the date such CB Floating Rate Advance was to have been made pursuant to the notice referred to in Section 2.1(c)(i), purchase for cash an undivided participating interest in the then outstanding Swingline Loans by paying to the Swingline Lender an amount (the “Swingline Participation Amount”) equal to such Lender’s Pro Rata Share of the aggregate principal amount of Swingline Loans then outstanding. Each Lender will immediately transfer to the Swingline Lender, in immediately available funds, the amount of its Swingline Participation Amount. Whenever, at any time after the Swingline Lender has received from any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provided that in the event that such payment received by the Swingline Lender is required to be returned, such Lender will return to the Swingline Lender any portion thereof previously distributed to it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Each Lender’s obligation to make the CB Floating Rate Advances referred to in Section 2.1(c)(i) and to purchase participating interests pursuant to Section 2.1(c)(iii) shall be absolute and unconditional and shall not be affected by any circumstance, including (A) any setoff, counterclaim, recoupment, defense or other right that such Lender or the Borrowers may have against the Swingline Lender, the Borrowers or any other Person for any reason whatsoever, (B) the occurrence or continuance of a Default or Unmatured Default or the failure to satisfy any of the other conditions specified in Article IV, (C) any adverse change in the condition (financial or otherwise) of the Borrowers, (D) any breach of this Agreement or any other Loan Document by any Borrower, any other Loan Party or any other Lender or (E)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If any Lender fails to make available to the Agent, for the account of the Swingline Lender, any amount required to be paid by such Lender pursuant to the foregoing provisions of this Section 2.1(c) by the time specified in Section 2.1(c)(i) or Section 2.1(c)(iii), as applicable, the Swingline Lender shall be entitled to recover from such Lender (acting through the Agent), on demand, such amount with interest thereon for the period from the date such payment is required to the date on which such payment is immediately available to the Swingline Lender at a rate per annum equal to the Federal Funds Effective Rate, plus any administrative, processing or similar fees customarily charged by the Swingline Lender in connection with the foregoing. If such Lender pays such amount (with interest and fees as aforesaid), the amount so paid shall constitute such Lender’s CB Floating Rate Advance or Swingline Participation Amount, as the case may be. A certificate of the Swingline Lender submitted to any Lender (through the Agent) with respect to any amounts owing under this clause (v)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Defaulting Lenders. Notwithstanding anything to the contrary contained in this Agreement, this Section 2.1 shall be subject to the terms and conditions of Section 2.21 and Section 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Required Payments; Termination</w:t>
      </w:r>
      <w:r>
        <w:rPr>
          <w:rFonts w:ascii="Times New Roman;Times;Serif" w:hAnsi="Times New Roman;Times;Serif"/>
          <w:b w:val="false"/>
          <w:i w:val="false"/>
          <w:caps w:val="false"/>
          <w:smallCaps w:val="false"/>
          <w:sz w:val="20"/>
        </w:rPr>
        <w:t xml:space="preserve">. Any outstanding Advances </w:t>
      </w:r>
      <w:r>
        <w:rPr>
          <w:rFonts w:ascii="Times New Roman;Times;Serif" w:hAnsi="Times New Roman;Times;Serif"/>
          <w:b w:val="false"/>
          <w:i w:val="false"/>
          <w:caps w:val="false"/>
          <w:smallCaps w:val="false"/>
          <w:color w:val="0000FF"/>
          <w:sz w:val="20"/>
          <w:u w:val="single"/>
        </w:rPr>
        <w:t xml:space="preserve">under the Senior Credit Facility </w:t>
      </w:r>
      <w:r>
        <w:rPr>
          <w:rFonts w:ascii="Times New Roman;Times;Serif" w:hAnsi="Times New Roman;Times;Serif"/>
          <w:b w:val="false"/>
          <w:i w:val="false"/>
          <w:caps w:val="false"/>
          <w:smallCaps w:val="false"/>
          <w:sz w:val="20"/>
        </w:rPr>
        <w:t xml:space="preserve">and all other unpaid Obligations </w:t>
      </w:r>
      <w:r>
        <w:rPr>
          <w:rFonts w:ascii="Times New Roman;Times;Serif" w:hAnsi="Times New Roman;Times;Serif"/>
          <w:b w:val="false"/>
          <w:i w:val="false"/>
          <w:caps w:val="false"/>
          <w:smallCaps w:val="false"/>
          <w:color w:val="0000FF"/>
          <w:sz w:val="20"/>
          <w:u w:val="single"/>
        </w:rPr>
        <w:t xml:space="preserve">in respect of the Senior Credit Facility </w:t>
      </w:r>
      <w:r>
        <w:rPr>
          <w:rFonts w:ascii="Times New Roman;Times;Serif" w:hAnsi="Times New Roman;Times;Serif"/>
          <w:b w:val="false"/>
          <w:i w:val="false"/>
          <w:caps w:val="false"/>
          <w:smallCaps w:val="false"/>
          <w:sz w:val="20"/>
        </w:rPr>
        <w:t xml:space="preserve">shall be Paid in Full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on the Facility Termination Date</w:t>
      </w:r>
      <w:r>
        <w:rPr>
          <w:rFonts w:ascii="Times New Roman;Times;Serif" w:hAnsi="Times New Roman;Times;Serif"/>
          <w:b w:val="false"/>
          <w:i w:val="false"/>
          <w:caps w:val="false"/>
          <w:smallCaps w:val="false"/>
          <w:color w:val="0000FF"/>
          <w:sz w:val="20"/>
          <w:u w:val="single"/>
        </w:rPr>
        <w:t>, and all Swingline Loans shall be repaid in accordance with Section 2.1(c) but, in any event, no later than the Facility Termination Date. Each Incremental Term Loan shall be repaid on the dates and in the amounts set forth in the applicable Incremental Term Loan Amendment</w:t>
      </w:r>
      <w:r>
        <w:rPr>
          <w:rFonts w:ascii="Times New Roman;Times;Serif" w:hAnsi="Times New Roman;Times;Serif"/>
          <w:b w:val="false"/>
          <w:i w:val="false"/>
          <w:caps w:val="false"/>
          <w:smallCaps w:val="false"/>
          <w:sz w:val="20"/>
        </w:rPr>
        <w:t xml:space="preserve">. If at any time after the Closing Date, the </w:t>
      </w:r>
      <w:r>
        <w:rPr>
          <w:rFonts w:ascii="Times New Roman;Times;Serif" w:hAnsi="Times New Roman;Times;Serif"/>
          <w:b w:val="false"/>
          <w:i/>
          <w:caps w:val="false"/>
          <w:smallCaps w:val="false"/>
          <w:sz w:val="20"/>
          <w:u w:val="single"/>
        </w:rPr>
        <w:t>sum</w:t>
      </w:r>
      <w:r>
        <w:rPr>
          <w:rFonts w:ascii="Times New Roman;Times;Serif" w:hAnsi="Times New Roman;Times;Serif"/>
          <w:b w:val="false"/>
          <w:i w:val="false"/>
          <w:caps w:val="false"/>
          <w:smallCaps w:val="false"/>
          <w:sz w:val="20"/>
        </w:rPr>
        <w:t xml:space="preserve"> of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 xml:space="preserve">aggregate principal amount of outstanding Loans </w:t>
      </w:r>
      <w:r>
        <w:rPr>
          <w:rFonts w:ascii="Times New Roman;Times;Serif" w:hAnsi="Times New Roman;Times;Serif"/>
          <w:b w:val="false"/>
          <w:i/>
          <w:caps w:val="false"/>
          <w:smallCaps w:val="false"/>
          <w:strike/>
          <w:color w:val="FF0000"/>
          <w:sz w:val="20"/>
          <w:u w:val="single"/>
        </w:rPr>
        <w:t>plus</w:t>
      </w:r>
      <w:r>
        <w:rPr>
          <w:rFonts w:ascii="Times New Roman;Times;Serif" w:hAnsi="Times New Roman;Times;Serif"/>
          <w:b w:val="false"/>
          <w:i w:val="false"/>
          <w:caps w:val="false"/>
          <w:smallCaps w:val="false"/>
          <w:color w:val="0000FF"/>
          <w:sz w:val="20"/>
          <w:u w:val="single"/>
        </w:rPr>
        <w:t xml:space="preserve">(other than Incremental Term Loans) </w:t>
      </w:r>
      <w:r>
        <w:rPr>
          <w:rFonts w:ascii="Times New Roman;Times;Serif" w:hAnsi="Times New Roman;Times;Serif"/>
          <w:b w:val="false"/>
          <w:i/>
          <w:caps w:val="false"/>
          <w:smallCaps w:val="false"/>
          <w:color w:val="0000FF"/>
          <w:sz w:val="20"/>
          <w:u w:val="single"/>
        </w:rPr>
        <w:t>plus</w:t>
      </w:r>
      <w:r>
        <w:rPr>
          <w:rFonts w:ascii="Times New Roman;Times;Serif" w:hAnsi="Times New Roman;Times;Serif"/>
          <w:b w:val="false"/>
          <w:i w:val="false"/>
          <w:caps w:val="false"/>
          <w:smallCaps w:val="false"/>
          <w:color w:val="0000FF"/>
          <w:sz w:val="20"/>
          <w:u w:val="single"/>
        </w:rPr>
        <w:t xml:space="preserve"> the Dollar Equivalent of</w:t>
      </w:r>
      <w:r>
        <w:rPr>
          <w:rFonts w:ascii="Times New Roman;Times;Serif" w:hAnsi="Times New Roman;Times;Serif"/>
          <w:b w:val="false"/>
          <w:i w:val="false"/>
          <w:caps w:val="false"/>
          <w:smallCaps w:val="false"/>
          <w:sz w:val="20"/>
        </w:rPr>
        <w:t xml:space="preserve"> outstanding L/C Obligations shall exceed the Aggregate Commitment,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immediately prepay the Loans </w:t>
      </w:r>
      <w:r>
        <w:rPr>
          <w:rFonts w:ascii="Times New Roman;Times;Serif" w:hAnsi="Times New Roman;Times;Serif"/>
          <w:b w:val="false"/>
          <w:i w:val="false"/>
          <w:caps w:val="false"/>
          <w:smallCaps w:val="false"/>
          <w:color w:val="0000FF"/>
          <w:sz w:val="20"/>
          <w:u w:val="single"/>
        </w:rPr>
        <w:t xml:space="preserve">(other than Incremental Term Loans) </w:t>
      </w:r>
      <w:r>
        <w:rPr>
          <w:rFonts w:ascii="Times New Roman;Times;Serif" w:hAnsi="Times New Roman;Times;Serif"/>
          <w:b w:val="false"/>
          <w:i w:val="false"/>
          <w:caps w:val="false"/>
          <w:smallCaps w:val="false"/>
          <w:sz w:val="20"/>
        </w:rPr>
        <w:t xml:space="preserve">and (after all </w:t>
      </w:r>
      <w:r>
        <w:rPr>
          <w:rFonts w:ascii="Times New Roman;Times;Serif" w:hAnsi="Times New Roman;Times;Serif"/>
          <w:b w:val="false"/>
          <w:i w:val="false"/>
          <w:caps w:val="false"/>
          <w:smallCaps w:val="false"/>
          <w:color w:val="0000FF"/>
          <w:sz w:val="20"/>
          <w:u w:val="single"/>
        </w:rPr>
        <w:t xml:space="preserve">such </w:t>
      </w:r>
      <w:r>
        <w:rPr>
          <w:rFonts w:ascii="Times New Roman;Times;Serif" w:hAnsi="Times New Roman;Times;Serif"/>
          <w:b w:val="false"/>
          <w:i w:val="false"/>
          <w:caps w:val="false"/>
          <w:smallCaps w:val="false"/>
          <w:sz w:val="20"/>
        </w:rPr>
        <w:t>Loans have been repaid and without a permanent reduction of the Aggregate Commitment) Cash Collateralize the L/C Obligations in an amount sufficient to eliminate such excess</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 xml:space="preserve">, with any such prepayment applied </w:t>
      </w:r>
      <w:r>
        <w:rPr>
          <w:rFonts w:ascii="Times New Roman;Times;Serif" w:hAnsi="Times New Roman;Times;Serif"/>
          <w:b w:val="false"/>
          <w:i/>
          <w:caps w:val="false"/>
          <w:smallCaps w:val="false"/>
          <w:color w:val="0000FF"/>
          <w:sz w:val="20"/>
          <w:u w:val="single"/>
        </w:rPr>
        <w:t>first</w:t>
      </w:r>
      <w:r>
        <w:rPr>
          <w:rFonts w:ascii="Times New Roman;Times;Serif" w:hAnsi="Times New Roman;Times;Serif"/>
          <w:b w:val="false"/>
          <w:i w:val="false"/>
          <w:caps w:val="false"/>
          <w:smallCaps w:val="false"/>
          <w:color w:val="0000FF"/>
          <w:sz w:val="20"/>
          <w:u w:val="single"/>
        </w:rPr>
        <w:t xml:space="preserve">, to the principal amount of outstanding Swingline Loans, and </w:t>
      </w:r>
      <w:r>
        <w:rPr>
          <w:rFonts w:ascii="Times New Roman;Times;Serif" w:hAnsi="Times New Roman;Times;Serif"/>
          <w:b w:val="false"/>
          <w:i/>
          <w:caps w:val="false"/>
          <w:smallCaps w:val="false"/>
          <w:color w:val="0000FF"/>
          <w:sz w:val="20"/>
          <w:u w:val="single"/>
        </w:rPr>
        <w:t>second</w:t>
      </w:r>
      <w:r>
        <w:rPr>
          <w:rFonts w:ascii="Times New Roman;Times;Serif" w:hAnsi="Times New Roman;Times;Serif"/>
          <w:b w:val="false"/>
          <w:i w:val="false"/>
          <w:caps w:val="false"/>
          <w:smallCaps w:val="false"/>
          <w:color w:val="0000FF"/>
          <w:sz w:val="20"/>
          <w:u w:val="single"/>
        </w:rPr>
        <w:t>, to the principal amount of other outstanding Loans (other than Incremental Term Loans). If at any time the aggregate principal amount of outstanding Swingline Loans exceeds the Swingline Commitment, the Borrowers shall immediately prepay Swingline Loans in an amount sufficient to eliminate such excess. If at any time the Dollar Equivalent of the aggregate outstanding amount of Loans (other than Incremental Term Loans) and L/C Obligations denominated in Alternative Currencies exceeds the Alternative Currency Sublimit or the aggregate Alternative Currency Commitments, as applicable, the Borrowers shall, within five (5) Business Days after notice from the Agent, prepay Alternative Currency Loans and/or Cash Collateralize L/C Obligations denominated in Alternative Currencies in an amount sufficient to eliminate such excess, with any such prepayment applied to the Alternative Currency Loans of the Alternative Currency Lenders in accordance with their respective Alternative Currency Pro Rata Shares or the actual amounts owed to such Lenders,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Ratable Loans</w:t>
      </w:r>
      <w:r>
        <w:rPr>
          <w:rFonts w:ascii="Times New Roman;Times;Serif" w:hAnsi="Times New Roman;Times;Serif"/>
          <w:b w:val="false"/>
          <w:i w:val="false"/>
          <w:caps w:val="false"/>
          <w:smallCaps w:val="false"/>
          <w:sz w:val="20"/>
        </w:rPr>
        <w:t xml:space="preserve">. Each Advance hereunder </w:t>
      </w:r>
      <w:r>
        <w:rPr>
          <w:rFonts w:ascii="Times New Roman;Times;Serif" w:hAnsi="Times New Roman;Times;Serif"/>
          <w:b w:val="false"/>
          <w:i w:val="false"/>
          <w:caps w:val="false"/>
          <w:smallCaps w:val="false"/>
          <w:color w:val="0000FF"/>
          <w:sz w:val="20"/>
          <w:u w:val="single"/>
        </w:rPr>
        <w:t xml:space="preserve">consisting of (x) Loans denominated in Dollars under the Senior Credit Facility (other than Swingline Loans, but including CB Floating Rate Advances made to refund Swingline Loans pursuant to Section 2.1(b)) </w:t>
      </w:r>
      <w:r>
        <w:rPr>
          <w:rFonts w:ascii="Times New Roman;Times;Serif" w:hAnsi="Times New Roman;Times;Serif"/>
          <w:b w:val="false"/>
          <w:i w:val="false"/>
          <w:caps w:val="false"/>
          <w:smallCaps w:val="false"/>
          <w:sz w:val="20"/>
        </w:rPr>
        <w:t>shall consist of Loans made from the several Lenders ratably in proportion to the ratio that their respective Commitments bear to the Aggregate Commitment (the Pro Rata Shares)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(y) Alternative Currency Loans shall consist of Loans made solely from the several Alternative Currency Lenders ratably in accordance with their respective Alternative Currency Pro Rata Shares, and (z) Incremental Term Loans shall consist of Loans made solely by the applicable Incremental Term Loan Lenders in accordance with their respective Incremental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Types of Advances</w:t>
      </w:r>
      <w:r>
        <w:rPr>
          <w:rFonts w:ascii="Times New Roman;Times;Serif" w:hAnsi="Times New Roman;Times;Serif"/>
          <w:b w:val="false"/>
          <w:i w:val="false"/>
          <w:caps w:val="false"/>
          <w:smallCaps w:val="false"/>
          <w:sz w:val="20"/>
        </w:rPr>
        <w:t xml:space="preserve">. The Advances may be CB Floating Rate Advances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SOFR </w:t>
      </w:r>
      <w:r>
        <w:rPr>
          <w:rFonts w:ascii="Times New Roman;Times;Serif" w:hAnsi="Times New Roman;Times;Serif"/>
          <w:b w:val="false"/>
          <w:i w:val="false"/>
          <w:caps w:val="false"/>
          <w:smallCaps w:val="false"/>
          <w:color w:val="0000FF"/>
          <w:sz w:val="20"/>
          <w:u w:val="single"/>
        </w:rPr>
        <w:t xml:space="preserve">Advances or Alternative Currency RFR </w:t>
      </w:r>
      <w:r>
        <w:rPr>
          <w:rFonts w:ascii="Times New Roman;Times;Serif" w:hAnsi="Times New Roman;Times;Serif"/>
          <w:b w:val="false"/>
          <w:i w:val="false"/>
          <w:caps w:val="false"/>
          <w:smallCaps w:val="false"/>
          <w:sz w:val="20"/>
        </w:rPr>
        <w:t xml:space="preserve">Advances, or a combination thereof, selected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in accordance with </w:t>
      </w:r>
      <w:r>
        <w:rPr>
          <w:rFonts w:ascii="Times New Roman;Times;Serif" w:hAnsi="Times New Roman;Times;Serif"/>
          <w:b w:val="false"/>
          <w:i w:val="false"/>
          <w:caps w:val="false"/>
          <w:smallCaps w:val="false"/>
          <w:sz w:val="20"/>
          <w:u w:val="single"/>
        </w:rPr>
        <w:t>Sections 2.8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Alternative Currency RFR Advances shall be denominated in Sterling. Swingline Loans shall be denominated only in Dollars and shall bear interest at the rate applicable to CB Floating Rate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Commitment Fee; Reductions in Aggregate Commitment; Administrative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agrees to pay to the Agent for the account of each Lender </w:t>
      </w:r>
      <w:r>
        <w:rPr>
          <w:rFonts w:ascii="Times New Roman;Times;Serif" w:hAnsi="Times New Roman;Times;Serif"/>
          <w:b w:val="false"/>
          <w:i w:val="false"/>
          <w:caps w:val="false"/>
          <w:smallCaps w:val="false"/>
          <w:strike/>
          <w:color w:val="FF0000"/>
          <w:sz w:val="20"/>
        </w:rPr>
        <w:t xml:space="preserve">in accordance with its Pro Rata Share </w:t>
      </w:r>
      <w:r>
        <w:rPr>
          <w:rFonts w:ascii="Times New Roman;Times;Serif" w:hAnsi="Times New Roman;Times;Serif"/>
          <w:b w:val="false"/>
          <w:i w:val="false"/>
          <w:caps w:val="false"/>
          <w:smallCaps w:val="false"/>
          <w:sz w:val="20"/>
        </w:rPr>
        <w:t xml:space="preserve">a commitment fee (which shall begin to accrue, for the avoidance of doubt, on and after the Closing Date) equal to the Applicable Margin times the actual </w:t>
      </w:r>
      <w:r>
        <w:rPr>
          <w:rFonts w:ascii="Times New Roman;Times;Serif" w:hAnsi="Times New Roman;Times;Serif"/>
          <w:b w:val="false"/>
          <w:i w:val="false"/>
          <w:caps w:val="false"/>
          <w:smallCaps w:val="false"/>
          <w:strike/>
          <w:color w:val="FF0000"/>
          <w:sz w:val="20"/>
        </w:rPr>
        <w:t>daily amount by which the Aggregate</w:t>
      </w:r>
      <w:r>
        <w:rPr>
          <w:rFonts w:ascii="Times New Roman;Times;Serif" w:hAnsi="Times New Roman;Times;Serif"/>
          <w:b w:val="false"/>
          <w:i w:val="false"/>
          <w:caps w:val="false"/>
          <w:smallCaps w:val="false"/>
          <w:color w:val="0000FF"/>
          <w:sz w:val="20"/>
          <w:u w:val="single"/>
        </w:rPr>
        <w:t>unused amount of such Lender’s</w:t>
      </w:r>
      <w:r>
        <w:rPr>
          <w:rFonts w:ascii="Times New Roman;Times;Serif" w:hAnsi="Times New Roman;Times;Serif"/>
          <w:b w:val="false"/>
          <w:i w:val="false"/>
          <w:caps w:val="false"/>
          <w:smallCaps w:val="false"/>
          <w:sz w:val="20"/>
        </w:rPr>
        <w:t xml:space="preserve"> Commitment </w:t>
      </w:r>
      <w:r>
        <w:rPr>
          <w:rFonts w:ascii="Times New Roman;Times;Serif" w:hAnsi="Times New Roman;Times;Serif"/>
          <w:b w:val="false"/>
          <w:i w:val="false"/>
          <w:caps w:val="false"/>
          <w:smallCaps w:val="false"/>
          <w:strike/>
          <w:color w:val="FF0000"/>
          <w:sz w:val="20"/>
        </w:rPr>
        <w:t xml:space="preserve">exceeds the </w:t>
      </w:r>
      <w:r>
        <w:rPr>
          <w:rFonts w:ascii="Times New Roman;Times;Serif" w:hAnsi="Times New Roman;Times;Serif"/>
          <w:b w:val="false"/>
          <w:i/>
          <w:caps w:val="false"/>
          <w:smallCaps w:val="false"/>
          <w:strike/>
          <w:color w:val="FF0000"/>
          <w:sz w:val="20"/>
          <w:u w:val="single"/>
        </w:rPr>
        <w:t>sum</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of (i) the Outstanding Amount of Advances, and (ii) the Outstanding Amount of L/C Obligations</w:t>
      </w:r>
      <w:r>
        <w:rPr>
          <w:rFonts w:ascii="Times New Roman;Times;Serif" w:hAnsi="Times New Roman;Times;Serif"/>
          <w:b w:val="false"/>
          <w:i w:val="false"/>
          <w:caps w:val="false"/>
          <w:smallCaps w:val="false"/>
          <w:sz w:val="20"/>
        </w:rPr>
        <w:t xml:space="preserve">, payable quarterly in arrears on each Payment Date and on the Facility Termination Date. </w:t>
      </w:r>
      <w:r>
        <w:rPr>
          <w:rFonts w:ascii="Times New Roman;Times;Serif" w:hAnsi="Times New Roman;Times;Serif"/>
          <w:b w:val="false"/>
          <w:i w:val="false"/>
          <w:caps w:val="false"/>
          <w:smallCaps w:val="false"/>
          <w:color w:val="0000FF"/>
          <w:sz w:val="20"/>
          <w:u w:val="single"/>
        </w:rPr>
        <w:t xml:space="preserve">For purposes of computing commitment fees, the Commitment of each Lender shall be deemed used to the extent of the </w:t>
      </w:r>
      <w:r>
        <w:rPr>
          <w:rFonts w:ascii="Times New Roman;Times;Serif" w:hAnsi="Times New Roman;Times;Serif"/>
          <w:b w:val="false"/>
          <w:i/>
          <w:caps w:val="false"/>
          <w:smallCaps w:val="false"/>
          <w:color w:val="0000FF"/>
          <w:sz w:val="20"/>
          <w:u w:val="single"/>
        </w:rPr>
        <w:t>sum</w:t>
      </w:r>
      <w:r>
        <w:rPr>
          <w:rFonts w:ascii="Times New Roman;Times;Serif" w:hAnsi="Times New Roman;Times;Serif"/>
          <w:b w:val="false"/>
          <w:i w:val="false"/>
          <w:caps w:val="false"/>
          <w:smallCaps w:val="false"/>
          <w:color w:val="0000FF"/>
          <w:sz w:val="20"/>
          <w:u w:val="single"/>
        </w:rPr>
        <w:t xml:space="preserve"> of (i) the aggregate principal amount of such Lender’s outstanding Loans (other than Incremental Term Loans) denominated in Dollars, (ii) such Lender’s Pro Rata Share of the outstanding L/C Obligations in respect of Letters of Credit denominated in Dollars and (iii) solely if such Lender is an Alternative Currency Lender, such Lender’s Alternative Currency Exposure. For purposes of this Section 2.5(a), “Alternative Currency Lender” means any Lender with an Alternative Currency Commitment or, if the Alternative Currency Commitments have terminated, holding any outstanding Loan or participation in L/C Obligations denominated in an Alternative Currency; “Alternative Currency Commitment” means, with respect to each Alternative Currency Lender, the portion of such Lender’s Commitment available for Loans and L/C Obligations denominated in Alternative Currencies, if any, as set forth on the most recent Commitment Schedule or otherwise agreed in writing by the Borrower Representative, the Agent and such Alternative Currency Lender; and “Alternative Currency Exposure” means, with respect to each Alternative Currency Lender, the Dollar Equivalent of the aggregate principal amount of such Lender’s outstanding Loans denominated in Alternative Currencies and its participations in L/C Obligations denominated in Alternative Currencies. For the avoidance of doubt, Loans and L/C Obligations denominated in Alternative Currencies shall not be deemed to use or reduce the Commitment of, or otherwise reduce the unused commitment fee base of, any Lender that is not an Alternative Currency Lender, and no such Lender shall be entitled to any commitment fee, payment or other allocation in respect of Loans or L/C Obligations denominated in Alternative Currencies, except as otherwise expressly provided in Section 2.23(b) after the exercise of remedies. </w:t>
      </w:r>
      <w:r>
        <w:rPr>
          <w:rFonts w:ascii="Times New Roman;Times;Serif" w:hAnsi="Times New Roman;Times;Serif"/>
          <w:b w:val="false"/>
          <w:i w:val="false"/>
          <w:caps w:val="false"/>
          <w:smallCaps w:val="false"/>
          <w:sz w:val="20"/>
        </w:rPr>
        <w:t xml:space="preserve">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may permanently reduce the Aggregate Commitment in whole, or in part ratably among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all</w:t>
      </w:r>
      <w:r>
        <w:rPr>
          <w:rFonts w:ascii="Times New Roman;Times;Serif" w:hAnsi="Times New Roman;Times;Serif"/>
          <w:b w:val="false"/>
          <w:i w:val="false"/>
          <w:caps w:val="false"/>
          <w:smallCaps w:val="false"/>
          <w:sz w:val="20"/>
        </w:rPr>
        <w:t xml:space="preserve"> Lenders in integral multiples of $5,000,000.00, upon at least five (5) Business Days’ written notice to the Agent, which notice shall specify the amount of any such reduction;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amount of the Aggregate Commitment may not be reduced below the aggregate principal amount of the outstanding Advances </w:t>
      </w:r>
      <w:r>
        <w:rPr>
          <w:rFonts w:ascii="Times New Roman;Times;Serif" w:hAnsi="Times New Roman;Times;Serif"/>
          <w:b w:val="false"/>
          <w:i w:val="false"/>
          <w:caps w:val="false"/>
          <w:smallCaps w:val="false"/>
          <w:color w:val="0000FF"/>
          <w:sz w:val="20"/>
          <w:u w:val="single"/>
        </w:rPr>
        <w:t xml:space="preserve">(excluding Incremental Term Loans) </w:t>
      </w:r>
      <w:r>
        <w:rPr>
          <w:rFonts w:ascii="Times New Roman;Times;Serif" w:hAnsi="Times New Roman;Times;Serif"/>
          <w:b w:val="false"/>
          <w:i w:val="false"/>
          <w:caps w:val="false"/>
          <w:smallCaps w:val="false"/>
          <w:sz w:val="20"/>
        </w:rPr>
        <w:t>and L/C Obligations</w:t>
      </w:r>
      <w:r>
        <w:rPr>
          <w:rFonts w:ascii="Times New Roman;Times;Serif" w:hAnsi="Times New Roman;Times;Serif"/>
          <w:b w:val="false"/>
          <w:i w:val="false"/>
          <w:caps w:val="false"/>
          <w:smallCaps w:val="false"/>
          <w:color w:val="0000FF"/>
          <w:sz w:val="20"/>
          <w:u w:val="single"/>
        </w:rPr>
        <w:t>; provided, further, that any reduction of Alternative Currency Commitments shall be made ratably among the Alternative Currency Lenders according to their respective Alternative Currency Pro Rata Share unless each affected Alternative Currency Lender agrees otherwise</w:t>
      </w:r>
      <w:r>
        <w:rPr>
          <w:rFonts w:ascii="Times New Roman;Times;Serif" w:hAnsi="Times New Roman;Times;Serif"/>
          <w:b w:val="false"/>
          <w:i w:val="false"/>
          <w:caps w:val="false"/>
          <w:smallCaps w:val="false"/>
          <w:sz w:val="20"/>
        </w:rPr>
        <w:t>. All accrued commitment fees shall be payable on the effective date of any termination of the obligations of the Lenders to make Loans hereunder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 provided further that, notwithstanding the foregoing or anything to the contrary included in this Agreement, the parties hereto agree that Commitments in respect of Alternative Currency Loans may be terminated on a non-pro rata basis as relates to the aggregate “Multicurrency Tranche” as set forth on the most recent Commitment Schedule (i.e., to allow the Borrowers to terminate only borrowing capacity in Sterling while preserving (but not increasing) aggregate “other” permitted and existing borrowing capacity in Dollars) (but, in all cases, with such termination applied on a pro rata basis across the Alternative Currency Commitments). In the event the Borrowers so elect, the Agent will furnish to the Borrowers and the Lenders an updated Commitment Schedule reflecting the updated Commitments after giving effect to any such Alternative Currency Commitment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the Closing Date and on each anniversary of the Closing Date thereafter,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agrees to pay to the Agent the annual administrative fee as described in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Closing Date does not occur on or prior to December 31, 2016, the Commitments hereunder and this Agreement shall automatically terminate on such date without further action by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Minimum Amount of Each Advance</w:t>
      </w:r>
      <w:r>
        <w:rPr>
          <w:rFonts w:ascii="Times New Roman;Times;Serif" w:hAnsi="Times New Roman;Times;Serif"/>
          <w:b w:val="false"/>
          <w:i w:val="false"/>
          <w:caps w:val="false"/>
          <w:smallCaps w:val="false"/>
          <w:sz w:val="20"/>
        </w:rPr>
        <w:t xml:space="preserve">. Each SOFR Advance shall be in the minimum amount of $100,000.00 (and in multiples of $100,000.00 if in excess thereof),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each CB Floating Rate Advance </w:t>
      </w:r>
      <w:r>
        <w:rPr>
          <w:rFonts w:ascii="Times New Roman;Times;Serif" w:hAnsi="Times New Roman;Times;Serif"/>
          <w:b w:val="false"/>
          <w:i w:val="false"/>
          <w:caps w:val="false"/>
          <w:smallCaps w:val="false"/>
          <w:color w:val="0000FF"/>
          <w:sz w:val="20"/>
          <w:u w:val="single"/>
        </w:rPr>
        <w:t xml:space="preserve">(other than a Swingline Loan) </w:t>
      </w:r>
      <w:r>
        <w:rPr>
          <w:rFonts w:ascii="Times New Roman;Times;Serif" w:hAnsi="Times New Roman;Times;Serif"/>
          <w:b w:val="false"/>
          <w:i w:val="false"/>
          <w:caps w:val="false"/>
          <w:smallCaps w:val="false"/>
          <w:sz w:val="20"/>
        </w:rPr>
        <w:t xml:space="preserve">shall be in the minimum amount of $25,000.00 (and in multiples of $25,000.00 </w:t>
      </w:r>
      <w:r>
        <w:rPr>
          <w:rFonts w:ascii="Times New Roman;Times;Serif" w:hAnsi="Times New Roman;Times;Serif"/>
          <w:b w:val="false"/>
          <w:i w:val="false"/>
          <w:caps w:val="false"/>
          <w:smallCaps w:val="false"/>
          <w:color w:val="0000FF"/>
          <w:sz w:val="20"/>
          <w:u w:val="single"/>
        </w:rPr>
        <w:t xml:space="preserve">if in excess thereof), each Swingline Loan shall be in the minimum amount of $100,000.00 (and in multiples of $100,000.00 if in excess thereof), and each Alternative Currency Loan shall be in the minimum amount of the Alternative Currency Equivalent of $100,000.00 (and in multiples of the Alternative Currency Equivalent of $100,000.00 </w:t>
      </w:r>
      <w:r>
        <w:rPr>
          <w:rFonts w:ascii="Times New Roman;Times;Serif" w:hAnsi="Times New Roman;Times;Serif"/>
          <w:b w:val="false"/>
          <w:i w:val="false"/>
          <w:caps w:val="false"/>
          <w:smallCaps w:val="false"/>
          <w:sz w:val="20"/>
        </w:rPr>
        <w:t xml:space="preserve">if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CB Floating Rate Advance may be in the amount of the unused Aggregate Commitment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any Swingline Loan may be in the amount of the unused Swingline Commitment and any Alternative Currency Loan may be in the amount of the unused Alternative Currency Commitments. Any Incremental Term Loans shall be subject to the minimum amounts set forth in Section 2.24(II) and the applicable Incremental Term Loan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Optional Principal 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 Borrower</w:t>
      </w:r>
      <w:r>
        <w:rPr>
          <w:rFonts w:ascii="Times New Roman;Times;Serif" w:hAnsi="Times New Roman;Times;Serif"/>
          <w:b w:val="false"/>
          <w:i w:val="false"/>
          <w:caps w:val="false"/>
          <w:smallCaps w:val="false"/>
          <w:color w:val="0000FF"/>
          <w:sz w:val="20"/>
          <w:u w:val="single"/>
        </w:rPr>
        <w:t>Except for Incremental Term Loans (which shall be prepaid in accordance with Section 2.24(II) and the applicable Incremental Term Loan Amendment), the Borrower Representative</w:t>
      </w:r>
      <w:r>
        <w:rPr>
          <w:rFonts w:ascii="Times New Roman;Times;Serif" w:hAnsi="Times New Roman;Times;Serif"/>
          <w:b w:val="false"/>
          <w:i w:val="false"/>
          <w:caps w:val="false"/>
          <w:smallCaps w:val="false"/>
          <w:sz w:val="20"/>
        </w:rPr>
        <w:t xml:space="preserve"> may from time to time</w:t>
      </w:r>
      <w:r>
        <w:rPr>
          <w:rFonts w:ascii="Times New Roman;Times;Serif" w:hAnsi="Times New Roman;Times;Serif"/>
          <w:b w:val="false"/>
          <w:i w:val="false"/>
          <w:caps w:val="false"/>
          <w:smallCaps w:val="false"/>
          <w:color w:val="0000FF"/>
          <w:sz w:val="20"/>
          <w:u w:val="single"/>
        </w:rPr>
        <w:t>, on behalf of the Borrowers,</w:t>
      </w:r>
      <w:r>
        <w:rPr>
          <w:rFonts w:ascii="Times New Roman;Times;Serif" w:hAnsi="Times New Roman;Times;Serif"/>
          <w:b w:val="false"/>
          <w:i w:val="false"/>
          <w:caps w:val="false"/>
          <w:smallCaps w:val="false"/>
          <w:sz w:val="20"/>
        </w:rPr>
        <w:t xml:space="preserve"> pay, without penalty or premium, all outstanding CB Floating Rate Advances </w:t>
      </w:r>
      <w:r>
        <w:rPr>
          <w:rFonts w:ascii="Times New Roman;Times;Serif" w:hAnsi="Times New Roman;Times;Serif"/>
          <w:b w:val="false"/>
          <w:i w:val="false"/>
          <w:caps w:val="false"/>
          <w:smallCaps w:val="false"/>
          <w:color w:val="0000FF"/>
          <w:sz w:val="20"/>
          <w:u w:val="single"/>
        </w:rPr>
        <w:t>(other than Swingline Loans)</w:t>
      </w:r>
      <w:r>
        <w:rPr>
          <w:rFonts w:ascii="Times New Roman;Times;Serif" w:hAnsi="Times New Roman;Times;Serif"/>
          <w:b w:val="false"/>
          <w:i w:val="false"/>
          <w:caps w:val="false"/>
          <w:smallCaps w:val="false"/>
          <w:sz w:val="20"/>
        </w:rPr>
        <w:t xml:space="preserve">, or, in a minimum aggregate amount of $25,000.00 or any integral multiple of $25,000.00 in excess thereof, any portion of the outstanding CB Floating Rate Advances </w:t>
      </w:r>
      <w:r>
        <w:rPr>
          <w:rFonts w:ascii="Times New Roman;Times;Serif" w:hAnsi="Times New Roman;Times;Serif"/>
          <w:b w:val="false"/>
          <w:i w:val="false"/>
          <w:caps w:val="false"/>
          <w:smallCaps w:val="false"/>
          <w:color w:val="0000FF"/>
          <w:sz w:val="20"/>
          <w:u w:val="single"/>
        </w:rPr>
        <w:t xml:space="preserve">(other than Swingline Loans) </w:t>
      </w:r>
      <w:r>
        <w:rPr>
          <w:rFonts w:ascii="Times New Roman;Times;Serif" w:hAnsi="Times New Roman;Times;Serif"/>
          <w:b w:val="false"/>
          <w:i w:val="false"/>
          <w:caps w:val="false"/>
          <w:smallCaps w:val="false"/>
          <w:sz w:val="20"/>
        </w:rPr>
        <w:t xml:space="preserve">upon one (1) Business Day’s prior notice to the Agent.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may from time to time </w:t>
      </w:r>
      <w:r>
        <w:rPr>
          <w:rFonts w:ascii="Times New Roman;Times;Serif" w:hAnsi="Times New Roman;Times;Serif"/>
          <w:b w:val="false"/>
          <w:i w:val="false"/>
          <w:caps w:val="false"/>
          <w:smallCaps w:val="false"/>
          <w:strike/>
          <w:color w:val="FF0000"/>
          <w:sz w:val="20"/>
        </w:rPr>
        <w:t xml:space="preserve">pay, subject to the payment of any funding indemnification amounts required by </w:t>
      </w:r>
      <w:r>
        <w:rPr>
          <w:rFonts w:ascii="Times New Roman;Times;Serif" w:hAnsi="Times New Roman;Times;Serif"/>
          <w:b w:val="false"/>
          <w:i w:val="false"/>
          <w:caps w:val="false"/>
          <w:smallCaps w:val="false"/>
          <w:strike/>
          <w:color w:val="FF0000"/>
          <w:sz w:val="20"/>
          <w:u w:val="single"/>
        </w:rPr>
        <w:t>Section 3.4</w:t>
      </w:r>
      <w:r>
        <w:rPr>
          <w:rFonts w:ascii="Times New Roman;Times;Serif" w:hAnsi="Times New Roman;Times;Serif"/>
          <w:b w:val="false"/>
          <w:i w:val="false"/>
          <w:caps w:val="false"/>
          <w:smallCaps w:val="false"/>
          <w:color w:val="0000FF"/>
          <w:sz w:val="20"/>
          <w:u w:val="single"/>
        </w:rPr>
        <w:t>, on behalf of the Borrowers, pay, without penalty or premium</w:t>
      </w:r>
      <w:r>
        <w:rPr>
          <w:rFonts w:ascii="Times New Roman;Times;Serif" w:hAnsi="Times New Roman;Times;Serif"/>
          <w:b w:val="false"/>
          <w:i w:val="false"/>
          <w:caps w:val="false"/>
          <w:smallCaps w:val="false"/>
          <w:sz w:val="20"/>
        </w:rPr>
        <w:t xml:space="preserve">, all outstanding </w:t>
      </w:r>
      <w:r>
        <w:rPr>
          <w:rFonts w:ascii="Times New Roman;Times;Serif" w:hAnsi="Times New Roman;Times;Serif"/>
          <w:b w:val="false"/>
          <w:i w:val="false"/>
          <w:caps w:val="false"/>
          <w:smallCaps w:val="false"/>
          <w:strike/>
          <w:color w:val="FF0000"/>
          <w:sz w:val="20"/>
        </w:rPr>
        <w:t>SOFR Advances</w:t>
      </w:r>
      <w:r>
        <w:rPr>
          <w:rFonts w:ascii="Times New Roman;Times;Serif" w:hAnsi="Times New Roman;Times;Serif"/>
          <w:b w:val="false"/>
          <w:i w:val="false"/>
          <w:caps w:val="false"/>
          <w:smallCaps w:val="false"/>
          <w:color w:val="0000FF"/>
          <w:sz w:val="20"/>
          <w:u w:val="single"/>
        </w:rPr>
        <w:t>Swingline Loans</w:t>
      </w:r>
      <w:r>
        <w:rPr>
          <w:rFonts w:ascii="Times New Roman;Times;Serif" w:hAnsi="Times New Roman;Times;Serif"/>
          <w:b w:val="false"/>
          <w:i w:val="false"/>
          <w:caps w:val="false"/>
          <w:smallCaps w:val="false"/>
          <w:sz w:val="20"/>
        </w:rPr>
        <w:t xml:space="preserve">, or, in a minimum aggregate amount of $100,000.00 or any integral multiple of $100,000.00 in excess thereof, any portion of the outstanding </w:t>
      </w:r>
      <w:r>
        <w:rPr>
          <w:rFonts w:ascii="Times New Roman;Times;Serif" w:hAnsi="Times New Roman;Times;Serif"/>
          <w:b w:val="false"/>
          <w:i w:val="false"/>
          <w:caps w:val="false"/>
          <w:smallCaps w:val="false"/>
          <w:strike/>
          <w:color w:val="FF0000"/>
          <w:sz w:val="20"/>
        </w:rPr>
        <w:t>SOFR Advances</w:t>
      </w:r>
      <w:r>
        <w:rPr>
          <w:rFonts w:ascii="Times New Roman;Times;Serif" w:hAnsi="Times New Roman;Times;Serif"/>
          <w:b w:val="false"/>
          <w:i w:val="false"/>
          <w:caps w:val="false"/>
          <w:smallCaps w:val="false"/>
          <w:color w:val="0000FF"/>
          <w:sz w:val="20"/>
          <w:u w:val="single"/>
        </w:rPr>
        <w:t>Swingline Loans, upon irrevocable written notice to the Agent not later than 11:00 a.m. (Fort Worth, Texas time) on the same Business Day as such prepayment. The Borrower Representative may from time to time, on behalf of the Borrowers, pay, subject to the payment of any funding indemnification amounts required by Section 3.4, all outstanding SOFR Advances or Alternative Currency RFR Advances, or, in a minimum aggregate amount of $100,000.00 (or the Alternative Currency Equivalent thereof) or any integral multiple of $100,000.00 (or the Alternative Currency Equivalent thereof) in excess thereof, any portion of the outstanding SOFR Advances or Alternative Currency RFR Advances</w:t>
      </w:r>
      <w:r>
        <w:rPr>
          <w:rFonts w:ascii="Times New Roman;Times;Serif" w:hAnsi="Times New Roman;Times;Serif"/>
          <w:b w:val="false"/>
          <w:i w:val="false"/>
          <w:caps w:val="false"/>
          <w:smallCaps w:val="false"/>
          <w:sz w:val="20"/>
        </w:rPr>
        <w:t xml:space="preserve"> upon two (2)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Days’ prior notice to the Agent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in the case of SOFR Advances and five (5) Business Days’ prior notice to the Agent in the case of Alternative Currency RFR Advances. Each optional repayment or prepayment of Alternative Currency Loans shall be paid to the Agent for the account of the Alternative Currency Lenders holding such Alternative Currency Loans and shall be applied ratably to such Alternative Currency Loans in accordance with the actual amounts of such Alternative Currency Loans being prepaid or, if applicable, the Alternative Currency Pro Rata Shares of the Alternative Currency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Method of Selecting Types and Interest Periods for New Advances</w:t>
      </w:r>
      <w:r>
        <w:rPr>
          <w:rFonts w:ascii="Times New Roman;Times;Serif" w:hAnsi="Times New Roman;Times;Serif"/>
          <w:b w:val="false"/>
          <w:i w:val="false"/>
          <w:caps w:val="false"/>
          <w:smallCaps w:val="false"/>
          <w:sz w:val="20"/>
        </w:rPr>
        <w:t xml:space="preserv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shall select the Type of Advance</w:t>
      </w:r>
      <w:r>
        <w:rPr>
          <w:rFonts w:ascii="Times New Roman;Times;Serif" w:hAnsi="Times New Roman;Times;Serif"/>
          <w:b w:val="false"/>
          <w:i w:val="false"/>
          <w:caps w:val="false"/>
          <w:smallCaps w:val="false"/>
          <w:color w:val="0000FF"/>
          <w:sz w:val="20"/>
          <w:u w:val="single"/>
        </w:rPr>
        <w:t>, the Applicable Currency, the applicable Borrower</w:t>
      </w:r>
      <w:r>
        <w:rPr>
          <w:rFonts w:ascii="Times New Roman;Times;Serif" w:hAnsi="Times New Roman;Times;Serif"/>
          <w:b w:val="false"/>
          <w:i w:val="false"/>
          <w:caps w:val="false"/>
          <w:smallCaps w:val="false"/>
          <w:sz w:val="20"/>
        </w:rPr>
        <w:t xml:space="preserve"> and, in the case of each SOFR Advance, the Interest Period applicable thereto from time to time</w:t>
      </w:r>
      <w:r>
        <w:rPr>
          <w:rFonts w:ascii="Times New Roman;Times;Serif" w:hAnsi="Times New Roman;Times;Serif"/>
          <w:b w:val="false"/>
          <w:i w:val="false"/>
          <w:caps w:val="false"/>
          <w:smallCaps w:val="false"/>
          <w:color w:val="0000FF"/>
          <w:sz w:val="20"/>
          <w:u w:val="single"/>
        </w:rPr>
        <w:t>; provided that (x) any Borrowing Notice requesting an Alternative Currency Loan shall identify an Alternative Currency Borrower as the applicable Borrower and no Borrower that is not an Alternative Currency Borrower may request or receive an Alternative Currency Loan and (y) any Borrowing Notice requesting a Swingline Loan shall identify the US Borrower as the applicable Borrower, shall request Dollars only and shall not specify an Interest Period</w:t>
      </w:r>
      <w:r>
        <w:rPr>
          <w:rFonts w:ascii="Times New Roman;Times;Serif" w:hAnsi="Times New Roman;Times;Serif"/>
          <w:b w:val="false"/>
          <w:i w:val="false"/>
          <w:caps w:val="false"/>
          <w:smallCaps w:val="false"/>
          <w:sz w:val="20"/>
        </w:rPr>
        <w:t xml:space="preserv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shall give the Agent irrevocable notice in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Borrowing Notice</w:t>
      </w:r>
      <w:r>
        <w:rPr>
          <w:rFonts w:ascii="Times New Roman;Times;Serif" w:hAnsi="Times New Roman;Times;Serif"/>
          <w:b w:val="false"/>
          <w:i w:val="false"/>
          <w:caps w:val="false"/>
          <w:smallCaps w:val="false"/>
          <w:sz w:val="20"/>
        </w:rPr>
        <w:t xml:space="preserve">”) not later than 11:00 a.m. (Fort Worth, Texas time) </w:t>
      </w:r>
      <w:r>
        <w:rPr>
          <w:rFonts w:ascii="Times New Roman;Times;Serif" w:hAnsi="Times New Roman;Times;Serif"/>
          <w:b w:val="false"/>
          <w:i w:val="false"/>
          <w:caps w:val="false"/>
          <w:smallCaps w:val="false"/>
          <w:color w:val="0000FF"/>
          <w:sz w:val="20"/>
          <w:u w:val="single"/>
        </w:rPr>
        <w:t>(i) on the same Business Day as the Borrowing Date in the case of a Swingline Loan, (ii) </w:t>
      </w:r>
      <w:r>
        <w:rPr>
          <w:rFonts w:ascii="Times New Roman;Times;Serif" w:hAnsi="Times New Roman;Times;Serif"/>
          <w:b w:val="false"/>
          <w:i w:val="false"/>
          <w:caps w:val="false"/>
          <w:smallCaps w:val="false"/>
          <w:sz w:val="20"/>
        </w:rPr>
        <w:t xml:space="preserve">at least one (1) Business Day before the Borrowing Date </w:t>
      </w:r>
      <w:r>
        <w:rPr>
          <w:rFonts w:ascii="Times New Roman;Times;Serif" w:hAnsi="Times New Roman;Times;Serif"/>
          <w:b w:val="false"/>
          <w:i w:val="false"/>
          <w:caps w:val="false"/>
          <w:smallCaps w:val="false"/>
          <w:strike/>
          <w:color w:val="FF0000"/>
          <w:sz w:val="20"/>
        </w:rPr>
        <w:t>(two (2) U.S.</w:t>
      </w:r>
      <w:r>
        <w:rPr>
          <w:rFonts w:ascii="Times New Roman;Times;Serif" w:hAnsi="Times New Roman;Times;Serif"/>
          <w:b w:val="false"/>
          <w:i w:val="false"/>
          <w:caps w:val="false"/>
          <w:smallCaps w:val="false"/>
          <w:color w:val="0000FF"/>
          <w:sz w:val="20"/>
          <w:u w:val="single"/>
        </w:rPr>
        <w:t>in the case of a CB Floating Rate Advance (other than a Swingline Loan), (iii) two (2) US</w:t>
      </w:r>
      <w:r>
        <w:rPr>
          <w:rFonts w:ascii="Times New Roman;Times;Serif" w:hAnsi="Times New Roman;Times;Serif"/>
          <w:b w:val="false"/>
          <w:i w:val="false"/>
          <w:caps w:val="false"/>
          <w:smallCaps w:val="false"/>
          <w:sz w:val="20"/>
        </w:rPr>
        <w:t xml:space="preserve"> Government Securities Business Days </w:t>
      </w:r>
      <w:r>
        <w:rPr>
          <w:rFonts w:ascii="Times New Roman;Times;Serif" w:hAnsi="Times New Roman;Times;Serif"/>
          <w:b w:val="false"/>
          <w:i w:val="false"/>
          <w:caps w:val="false"/>
          <w:smallCaps w:val="false"/>
          <w:color w:val="0000FF"/>
          <w:sz w:val="20"/>
          <w:u w:val="single"/>
        </w:rPr>
        <w:t xml:space="preserve">before the Borrowing Date </w:t>
      </w:r>
      <w:r>
        <w:rPr>
          <w:rFonts w:ascii="Times New Roman;Times;Serif" w:hAnsi="Times New Roman;Times;Serif"/>
          <w:b w:val="false"/>
          <w:i w:val="false"/>
          <w:caps w:val="false"/>
          <w:smallCaps w:val="false"/>
          <w:sz w:val="20"/>
        </w:rPr>
        <w:t>in the case of a SOFR Advance</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and (iv) five (5) Business Days before the Borrowing Date in the case of an Alternative Currency RFR Advance</w:t>
      </w:r>
      <w:r>
        <w:rPr>
          <w:rFonts w:ascii="Times New Roman;Times;Serif" w:hAnsi="Times New Roman;Times;Serif"/>
          <w:b w:val="false"/>
          <w:i w:val="false"/>
          <w:caps w:val="false"/>
          <w:smallCaps w:val="false"/>
          <w:sz w:val="20"/>
        </w:rPr>
        <w:t>,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w:t>
      </w:r>
      <w:r>
        <w:rPr>
          <w:rFonts w:ascii="Times New Roman;Times;Serif" w:hAnsi="Times New Roman;Times;Serif"/>
          <w:b w:val="false"/>
          <w:i w:val="false"/>
          <w:caps w:val="false"/>
          <w:smallCaps w:val="false"/>
          <w:color w:val="0000FF"/>
          <w:sz w:val="20"/>
          <w:u w:val="single"/>
        </w:rPr>
        <w:t xml:space="preserve">requested </w:t>
      </w:r>
      <w:r>
        <w:rPr>
          <w:rFonts w:ascii="Times New Roman;Times;Serif" w:hAnsi="Times New Roman;Times;Serif"/>
          <w:b w:val="false"/>
          <w:i w:val="false"/>
          <w:caps w:val="false"/>
          <w:smallCaps w:val="false"/>
          <w:sz w:val="20"/>
        </w:rPr>
        <w:t xml:space="preserve">Borrowing Date, which shall be a Business Day </w:t>
      </w:r>
      <w:r>
        <w:rPr>
          <w:rFonts w:ascii="Times New Roman;Times;Serif" w:hAnsi="Times New Roman;Times;Serif"/>
          <w:b w:val="false"/>
          <w:i w:val="false"/>
          <w:caps w:val="false"/>
          <w:smallCaps w:val="false"/>
          <w:strike/>
          <w:color w:val="FF0000"/>
          <w:sz w:val="20"/>
        </w:rPr>
        <w:t>or U.S.</w:t>
      </w:r>
      <w:r>
        <w:rPr>
          <w:rFonts w:ascii="Times New Roman;Times;Serif" w:hAnsi="Times New Roman;Times;Serif"/>
          <w:b w:val="false"/>
          <w:i w:val="false"/>
          <w:caps w:val="false"/>
          <w:smallCaps w:val="false"/>
          <w:color w:val="0000FF"/>
          <w:sz w:val="20"/>
          <w:u w:val="single"/>
        </w:rPr>
        <w:t>, US</w:t>
      </w:r>
      <w:r>
        <w:rPr>
          <w:rFonts w:ascii="Times New Roman;Times;Serif" w:hAnsi="Times New Roman;Times;Serif"/>
          <w:b w:val="false"/>
          <w:i w:val="false"/>
          <w:caps w:val="false"/>
          <w:smallCaps w:val="false"/>
          <w:sz w:val="20"/>
        </w:rPr>
        <w:t xml:space="preserve"> Government Securities </w:t>
      </w:r>
      <w:r>
        <w:rPr>
          <w:rFonts w:ascii="Times New Roman;Times;Serif" w:hAnsi="Times New Roman;Times;Serif"/>
          <w:b w:val="false"/>
          <w:i w:val="false"/>
          <w:caps w:val="false"/>
          <w:smallCaps w:val="false"/>
          <w:color w:val="0000FF"/>
          <w:sz w:val="20"/>
          <w:u w:val="single"/>
        </w:rPr>
        <w:t xml:space="preserve">Business Day or RFR </w:t>
      </w:r>
      <w:r>
        <w:rPr>
          <w:rFonts w:ascii="Times New Roman;Times;Serif" w:hAnsi="Times New Roman;Times;Serif"/>
          <w:b w:val="false"/>
          <w:i w:val="false"/>
          <w:caps w:val="false"/>
          <w:smallCaps w:val="false"/>
          <w:sz w:val="20"/>
        </w:rPr>
        <w:t>Business Day, as applicable, of such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w:t>
      </w:r>
      <w:r>
        <w:rPr>
          <w:rFonts w:ascii="Times New Roman;Times;Serif" w:hAnsi="Times New Roman;Times;Serif"/>
          <w:b w:val="false"/>
          <w:i w:val="false"/>
          <w:caps w:val="false"/>
          <w:smallCaps w:val="false"/>
          <w:color w:val="0000FF"/>
          <w:sz w:val="20"/>
          <w:u w:val="single"/>
        </w:rPr>
        <w:t xml:space="preserve">principal </w:t>
      </w:r>
      <w:r>
        <w:rPr>
          <w:rFonts w:ascii="Times New Roman;Times;Serif" w:hAnsi="Times New Roman;Times;Serif"/>
          <w:b w:val="false"/>
          <w:i w:val="false"/>
          <w:caps w:val="false"/>
          <w:smallCaps w:val="false"/>
          <w:sz w:val="20"/>
        </w:rPr>
        <w:t>amount of such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whether such Loan is to be a Loan under the Senior Credit Facility denominated in Dollars (other than a Swingline Loan), an Incremental Term Loan, an Alternative Currency Loan or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trike/>
          <w:color w:val="FF0000"/>
          <w:sz w:val="20"/>
        </w:rPr>
        <w:t>Type of</w:t>
      </w:r>
      <w:r>
        <w:rPr>
          <w:rFonts w:ascii="Times New Roman;Times;Serif" w:hAnsi="Times New Roman;Times;Serif"/>
          <w:b w:val="false"/>
          <w:i w:val="false"/>
          <w:caps w:val="false"/>
          <w:smallCaps w:val="false"/>
          <w:color w:val="0000FF"/>
          <w:sz w:val="20"/>
          <w:u w:val="single"/>
        </w:rPr>
        <w:t>Applicable Currency of such</w:t>
      </w:r>
      <w:r>
        <w:rPr>
          <w:rFonts w:ascii="Times New Roman;Times;Serif" w:hAnsi="Times New Roman;Times;Serif"/>
          <w:b w:val="false"/>
          <w:i w:val="false"/>
          <w:caps w:val="false"/>
          <w:smallCaps w:val="false"/>
          <w:sz w:val="20"/>
        </w:rPr>
        <w:t xml:space="preserve"> Advance </w:t>
      </w:r>
      <w:r>
        <w:rPr>
          <w:rFonts w:ascii="Times New Roman;Times;Serif" w:hAnsi="Times New Roman;Times;Serif"/>
          <w:b w:val="false"/>
          <w:i w:val="false"/>
          <w:caps w:val="false"/>
          <w:smallCaps w:val="false"/>
          <w:strike/>
          <w:color w:val="FF0000"/>
          <w:sz w:val="20"/>
        </w:rPr>
        <w:t>selected</w:t>
      </w:r>
      <w:r>
        <w:rPr>
          <w:rFonts w:ascii="Times New Roman;Times;Serif" w:hAnsi="Times New Roman;Times;Serif"/>
          <w:b w:val="false"/>
          <w:i w:val="false"/>
          <w:caps w:val="false"/>
          <w:smallCaps w:val="false"/>
          <w:color w:val="0000FF"/>
          <w:sz w:val="20"/>
          <w:u w:val="single"/>
        </w:rPr>
        <w:t>, which shall be Dollars in the case of any Swingline Loan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color w:val="0000FF"/>
          <w:sz w:val="20"/>
          <w:u w:val="single"/>
        </w:rPr>
        <w:t xml:space="preserve">in the case of each Advance other than a Swingline Loan, the Type of Advance selected and, </w:t>
      </w:r>
      <w:r>
        <w:rPr>
          <w:rFonts w:ascii="Times New Roman;Times;Serif" w:hAnsi="Times New Roman;Times;Serif"/>
          <w:b w:val="false"/>
          <w:i w:val="false"/>
          <w:caps w:val="false"/>
          <w:smallCaps w:val="false"/>
          <w:sz w:val="20"/>
        </w:rPr>
        <w:t>in the case of each SOFR Advance,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1:00 P.M. (Fort Worth, Texas time) on each Borrowing Date</w:t>
      </w:r>
      <w:r>
        <w:rPr>
          <w:rFonts w:ascii="Times New Roman;Times;Serif" w:hAnsi="Times New Roman;Times;Serif"/>
          <w:b w:val="false"/>
          <w:i w:val="false"/>
          <w:caps w:val="false"/>
          <w:smallCaps w:val="false"/>
          <w:strike/>
          <w:color w:val="FF0000"/>
          <w:sz w:val="20"/>
        </w:rPr>
        <w:t xml:space="preserve">, each </w:t>
      </w:r>
      <w:r>
        <w:rPr>
          <w:rFonts w:ascii="Times New Roman;Times;Serif" w:hAnsi="Times New Roman;Times;Serif"/>
          <w:b w:val="false"/>
          <w:i w:val="false"/>
          <w:caps w:val="false"/>
          <w:smallCaps w:val="false"/>
          <w:color w:val="0000FF"/>
          <w:sz w:val="20"/>
          <w:u w:val="single"/>
        </w:rPr>
        <w:t>for Dollar-denominated Loans and not later than the applicable time specified by the Agent for Alternative Currency Loans, (a) each applicable</w:t>
      </w:r>
      <w:r>
        <w:rPr>
          <w:rFonts w:ascii="Times New Roman;Times;Serif" w:hAnsi="Times New Roman;Times;Serif"/>
          <w:b w:val="false"/>
          <w:i w:val="false"/>
          <w:caps w:val="false"/>
          <w:smallCaps w:val="false"/>
          <w:sz w:val="20"/>
        </w:rPr>
        <w:t xml:space="preserve"> Lender shall make available its Loan or Loans </w:t>
      </w:r>
      <w:r>
        <w:rPr>
          <w:rFonts w:ascii="Times New Roman;Times;Serif" w:hAnsi="Times New Roman;Times;Serif"/>
          <w:b w:val="false"/>
          <w:i w:val="false"/>
          <w:caps w:val="false"/>
          <w:smallCaps w:val="false"/>
          <w:strike/>
          <w:color w:val="FF0000"/>
          <w:sz w:val="20"/>
        </w:rPr>
        <w:t>in funds</w:t>
      </w:r>
      <w:r>
        <w:rPr>
          <w:rFonts w:ascii="Times New Roman;Times;Serif" w:hAnsi="Times New Roman;Times;Serif"/>
          <w:b w:val="false"/>
          <w:i w:val="false"/>
          <w:caps w:val="false"/>
          <w:smallCaps w:val="false"/>
          <w:color w:val="0000FF"/>
          <w:sz w:val="20"/>
          <w:u w:val="single"/>
        </w:rPr>
        <w:t>(other than Swingline Loans) in</w:t>
      </w:r>
      <w:r>
        <w:rPr>
          <w:rFonts w:ascii="Times New Roman;Times;Serif" w:hAnsi="Times New Roman;Times;Serif"/>
          <w:b w:val="false"/>
          <w:i w:val="false"/>
          <w:caps w:val="false"/>
          <w:smallCaps w:val="false"/>
          <w:sz w:val="20"/>
        </w:rPr>
        <w:t xml:space="preserve"> immediately available </w:t>
      </w:r>
      <w:r>
        <w:rPr>
          <w:rFonts w:ascii="Times New Roman;Times;Serif" w:hAnsi="Times New Roman;Times;Serif"/>
          <w:b w:val="false"/>
          <w:i w:val="false"/>
          <w:caps w:val="false"/>
          <w:smallCaps w:val="false"/>
          <w:strike/>
          <w:color w:val="FF0000"/>
          <w:sz w:val="20"/>
        </w:rPr>
        <w:t>in Fort Worth, Texas</w:t>
      </w:r>
      <w:r>
        <w:rPr>
          <w:rFonts w:ascii="Times New Roman;Times;Serif" w:hAnsi="Times New Roman;Times;Serif"/>
          <w:b w:val="false"/>
          <w:i w:val="false"/>
          <w:caps w:val="false"/>
          <w:smallCaps w:val="false"/>
          <w:color w:val="0000FF"/>
          <w:sz w:val="20"/>
          <w:u w:val="single"/>
        </w:rPr>
        <w:t>funds in the applicable Currency</w:t>
      </w:r>
      <w:r>
        <w:rPr>
          <w:rFonts w:ascii="Times New Roman;Times;Serif" w:hAnsi="Times New Roman;Times;Serif"/>
          <w:b w:val="false"/>
          <w:i w:val="false"/>
          <w:caps w:val="false"/>
          <w:smallCaps w:val="false"/>
          <w:sz w:val="20"/>
        </w:rPr>
        <w:t xml:space="preserve"> to the Agent at its address specified pursuant to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such other office as the Agent may designate and (b) the Swingline Lender shall make available to the Agent, for the account of the US Borrower, in immediately available funds, the Swingline Loans to be made on such Borrowing Date; provided that only Alternative Currency Lenders shall be required to make Alternative Currency Loans, and such Alternative Currency Loans shall be made in accordance with their Alternative Currency Pro Rata Shares; provided, further, that only Incremental Term Loan Lenders shall be required to make Incremental Term Loans, and such Incremental Term Loans shall be made in accordance with their respective Incremental Term Loan Commitments and the applicable Incremental Term Loan Amendment</w:t>
      </w:r>
      <w:r>
        <w:rPr>
          <w:rFonts w:ascii="Times New Roman;Times;Serif" w:hAnsi="Times New Roman;Times;Serif"/>
          <w:b w:val="false"/>
          <w:i w:val="false"/>
          <w:caps w:val="false"/>
          <w:smallCaps w:val="false"/>
          <w:sz w:val="20"/>
        </w:rPr>
        <w:t xml:space="preserve">. The Agent will make the funds so received from the </w:t>
      </w:r>
      <w:r>
        <w:rPr>
          <w:rFonts w:ascii="Times New Roman;Times;Serif" w:hAnsi="Times New Roman;Times;Serif"/>
          <w:b w:val="false"/>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 xml:space="preserve">Lenders </w:t>
      </w:r>
      <w:r>
        <w:rPr>
          <w:rFonts w:ascii="Times New Roman;Times;Serif" w:hAnsi="Times New Roman;Times;Serif"/>
          <w:b w:val="false"/>
          <w:i w:val="false"/>
          <w:caps w:val="false"/>
          <w:smallCaps w:val="false"/>
          <w:color w:val="0000FF"/>
          <w:sz w:val="20"/>
          <w:u w:val="single"/>
        </w:rPr>
        <w:t xml:space="preserve">or the Swingline Lender </w:t>
      </w:r>
      <w:r>
        <w:rPr>
          <w:rFonts w:ascii="Times New Roman;Times;Serif" w:hAnsi="Times New Roman;Times;Serif"/>
          <w:b w:val="false"/>
          <w:i w:val="false"/>
          <w:caps w:val="false"/>
          <w:smallCaps w:val="false"/>
          <w:sz w:val="20"/>
        </w:rPr>
        <w:t xml:space="preserve">available to the </w:t>
      </w:r>
      <w:r>
        <w:rPr>
          <w:rFonts w:ascii="Times New Roman;Times;Serif" w:hAnsi="Times New Roman;Times;Serif"/>
          <w:b w:val="false"/>
          <w:i w:val="false"/>
          <w:caps w:val="false"/>
          <w:smallCaps w:val="false"/>
          <w:strike/>
          <w:color w:val="FF0000"/>
          <w:sz w:val="20"/>
        </w:rPr>
        <w:t>Borrower at the Principal Office</w:t>
      </w:r>
      <w:r>
        <w:rPr>
          <w:rFonts w:ascii="Times New Roman;Times;Serif" w:hAnsi="Times New Roman;Times;Serif"/>
          <w:b w:val="false"/>
          <w:i w:val="false"/>
          <w:caps w:val="false"/>
          <w:smallCaps w:val="false"/>
          <w:color w:val="0000FF"/>
          <w:sz w:val="20"/>
          <w:u w:val="single"/>
        </w:rPr>
        <w:t>applicable Borrower as directed by the Borrower Representative. Loans to be made for the purpose of refunding Swingline Loans shall be made by the Lenders as provided in 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Conversion and Continuation of Outstanding Advances</w:t>
      </w:r>
      <w:r>
        <w:rPr>
          <w:rFonts w:ascii="Times New Roman;Times;Serif" w:hAnsi="Times New Roman;Times;Serif"/>
          <w:b w:val="false"/>
          <w:i w:val="false"/>
          <w:caps w:val="false"/>
          <w:smallCaps w:val="false"/>
          <w:sz w:val="20"/>
        </w:rPr>
        <w:t xml:space="preserve">. CB Floating Rate Advances shall continue as CB Floating Rate Advances unless and until such CB Floating Rate Advances are converted into SOFR Advances pursuant to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or are repaid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Each SOFR Advance shall continue as a SOFR Advance until the end of the then applicable Interest Period therefor, at which time such SOFR Advance shall be automatically converted into a SOFR Advance with an Interest Period of one month unless (a) such SOFR Advance is or was repaid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or (b)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have given the Agent a Conversion/Continuation Notice (as defined below) requesting that, at the end of such Interest Period, such SOFR Advance continue as a SOFR Advance for the same or another Interest Period. Subject to the terms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elect from time to time to convert all or any part of a CB Floating Rate Advance into a SOFR Advance</w:t>
      </w:r>
      <w:r>
        <w:rPr>
          <w:rFonts w:ascii="Times New Roman;Times;Serif" w:hAnsi="Times New Roman;Times;Serif"/>
          <w:b w:val="false"/>
          <w:i w:val="false"/>
          <w:caps w:val="false"/>
          <w:smallCaps w:val="false"/>
          <w:strike/>
          <w:color w:val="FF0000"/>
          <w:sz w:val="20"/>
        </w:rPr>
        <w:t>. The Borrower</w:t>
      </w:r>
      <w:r>
        <w:rPr>
          <w:rFonts w:ascii="Times New Roman;Times;Serif" w:hAnsi="Times New Roman;Times;Serif"/>
          <w:b w:val="false"/>
          <w:i w:val="false"/>
          <w:caps w:val="false"/>
          <w:smallCaps w:val="false"/>
          <w:color w:val="0000FF"/>
          <w:sz w:val="20"/>
          <w:u w:val="single"/>
        </w:rPr>
        <w:t>; provided that Swingline Loans may not be converted into or continued as SOFR Advances or Alternative Currency RFR Advances. The Borrowers</w:t>
      </w:r>
      <w:r>
        <w:rPr>
          <w:rFonts w:ascii="Times New Roman;Times;Serif" w:hAnsi="Times New Roman;Times;Serif"/>
          <w:b w:val="false"/>
          <w:i w:val="false"/>
          <w:caps w:val="false"/>
          <w:smallCaps w:val="false"/>
          <w:sz w:val="20"/>
        </w:rPr>
        <w:t xml:space="preserve"> shall give the Agent irrevocable notice (a “</w:t>
      </w:r>
      <w:r>
        <w:rPr>
          <w:rFonts w:ascii="Times New Roman;Times;Serif" w:hAnsi="Times New Roman;Times;Serif"/>
          <w:b w:val="false"/>
          <w:i w:val="false"/>
          <w:caps w:val="false"/>
          <w:smallCaps w:val="false"/>
          <w:sz w:val="20"/>
          <w:u w:val="single"/>
        </w:rPr>
        <w:t>Conversion/Continuation Notice</w:t>
      </w:r>
      <w:r>
        <w:rPr>
          <w:rFonts w:ascii="Times New Roman;Times;Serif" w:hAnsi="Times New Roman;Times;Serif"/>
          <w:b w:val="false"/>
          <w:i w:val="false"/>
          <w:caps w:val="false"/>
          <w:smallCaps w:val="false"/>
          <w:sz w:val="20"/>
        </w:rPr>
        <w:t>”) of each conversion of a CB Floating Rate Advance into a SOFR Advance or continuation of a SOFR Advance not later than 11:00 a.m. (Fort Worth, Texas time) at least two (2)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Days prior to the date of the requested conversion or continuation,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requested date, which shall be a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Government Securities Business Day, of such conversion or 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amount and Type of the Advance which is to be converted or continued,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 of such Advance which is to be converted into or continued as a SOFR Advance and the duration of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Changes in Interest Rate; Applicable Margin</w:t>
      </w:r>
      <w:r>
        <w:rPr>
          <w:rFonts w:ascii="Times New Roman;Times;Serif" w:hAnsi="Times New Roman;Times;Serif"/>
          <w:b w:val="false"/>
          <w:i w:val="false"/>
          <w:caps w:val="false"/>
          <w:smallCaps w:val="false"/>
          <w:sz w:val="20"/>
        </w:rPr>
        <w:t xml:space="preserve">. Each CB Floating Rate Advance shall bear interest on the outstanding principal amount thereof, for each day from and including the date such Advance is made or is automatically converted from a SOFR Advance into a CB Floating Rate Advance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to but excluding the date it is paid or is converted into a SOFR Advance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hereof, at a rate per annum equal to the CB Floating Rate for such day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w:t>
      </w:r>
      <w:r>
        <w:rPr>
          <w:rFonts w:ascii="Times New Roman;Times;Serif" w:hAnsi="Times New Roman;Times;Serif"/>
          <w:b w:val="false"/>
          <w:i w:val="false"/>
          <w:caps w:val="false"/>
          <w:smallCaps w:val="false"/>
          <w:color w:val="0000FF"/>
          <w:sz w:val="20"/>
          <w:u w:val="single"/>
        </w:rPr>
        <w:t xml:space="preserve">Each Swingline Loan shall bear interest on the outstanding principal amount thereof at a rate per annum equal to the CB Floating Rate for such day </w:t>
      </w:r>
      <w:r>
        <w:rPr>
          <w:rFonts w:ascii="Times New Roman;Times;Serif" w:hAnsi="Times New Roman;Times;Serif"/>
          <w:b w:val="false"/>
          <w:i/>
          <w:caps w:val="false"/>
          <w:smallCaps w:val="false"/>
          <w:color w:val="0000FF"/>
          <w:sz w:val="20"/>
          <w:u w:val="single"/>
        </w:rPr>
        <w:t>plus</w:t>
      </w:r>
      <w:r>
        <w:rPr>
          <w:rFonts w:ascii="Times New Roman;Times;Serif" w:hAnsi="Times New Roman;Times;Serif"/>
          <w:b w:val="false"/>
          <w:i w:val="false"/>
          <w:caps w:val="false"/>
          <w:smallCaps w:val="false"/>
          <w:color w:val="0000FF"/>
          <w:sz w:val="20"/>
          <w:u w:val="single"/>
        </w:rPr>
        <w:t xml:space="preserve"> the Applicable Margin applicable to CB Floating Rate Advances and shall not be converted into or continued as a SOFR Advance or Alternative Currency RFR Advance. </w:t>
      </w:r>
      <w:r>
        <w:rPr>
          <w:rFonts w:ascii="Times New Roman;Times;Serif" w:hAnsi="Times New Roman;Times;Serif"/>
          <w:b w:val="false"/>
          <w:i w:val="false"/>
          <w:caps w:val="false"/>
          <w:smallCaps w:val="false"/>
          <w:sz w:val="20"/>
        </w:rPr>
        <w:t xml:space="preserve">Changes in the rate of interest on that portion of any Advance maintained as a CB Floating Rate Advance </w:t>
      </w:r>
      <w:r>
        <w:rPr>
          <w:rFonts w:ascii="Times New Roman;Times;Serif" w:hAnsi="Times New Roman;Times;Serif"/>
          <w:b w:val="false"/>
          <w:i w:val="false"/>
          <w:caps w:val="false"/>
          <w:smallCaps w:val="false"/>
          <w:color w:val="0000FF"/>
          <w:sz w:val="20"/>
          <w:u w:val="single"/>
        </w:rPr>
        <w:t xml:space="preserve">or Swingline Loan </w:t>
      </w:r>
      <w:r>
        <w:rPr>
          <w:rFonts w:ascii="Times New Roman;Times;Serif" w:hAnsi="Times New Roman;Times;Serif"/>
          <w:b w:val="false"/>
          <w:i w:val="false"/>
          <w:caps w:val="false"/>
          <w:smallCaps w:val="false"/>
          <w:sz w:val="20"/>
        </w:rPr>
        <w:t xml:space="preserve">will take effect simultaneously with each change in the Prime Rate. Each SOFR Advance shall bear interest on the outstanding principal amount thereof from and including the first day of the Interest Period applicable thereto to (but not including) the last day of such Interest Period at a rate equal to Adjusted Term SOFR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determined by the Agent as applicable to such SOFR Advance based upon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 Representative’s</w:t>
      </w:r>
      <w:r>
        <w:rPr>
          <w:rFonts w:ascii="Times New Roman;Times;Serif" w:hAnsi="Times New Roman;Times;Serif"/>
          <w:b w:val="false"/>
          <w:i w:val="false"/>
          <w:caps w:val="false"/>
          <w:smallCaps w:val="false"/>
          <w:sz w:val="20"/>
        </w:rPr>
        <w:t xml:space="preserve"> selections under </w:t>
      </w:r>
      <w:r>
        <w:rPr>
          <w:rFonts w:ascii="Times New Roman;Times;Serif" w:hAnsi="Times New Roman;Times;Serif"/>
          <w:b w:val="false"/>
          <w:i w:val="false"/>
          <w:caps w:val="false"/>
          <w:smallCaps w:val="false"/>
          <w:sz w:val="20"/>
          <w:u w:val="single"/>
        </w:rPr>
        <w:t>Sections 2.8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xml:space="preserve"> and otherwise in accordance with the terms hereof. </w:t>
      </w:r>
      <w:r>
        <w:rPr>
          <w:rFonts w:ascii="Times New Roman;Times;Serif" w:hAnsi="Times New Roman;Times;Serif"/>
          <w:b w:val="false"/>
          <w:i w:val="false"/>
          <w:caps w:val="false"/>
          <w:smallCaps w:val="false"/>
          <w:color w:val="0000FF"/>
          <w:sz w:val="20"/>
          <w:u w:val="single"/>
        </w:rPr>
        <w:t xml:space="preserve">Each Alternative Currency RFR Advance shall bear interest on the outstanding principal amount thereof at a rate equal to Adjusted Daily Simple RFR </w:t>
      </w:r>
      <w:r>
        <w:rPr>
          <w:rFonts w:ascii="Times New Roman;Times;Serif" w:hAnsi="Times New Roman;Times;Serif"/>
          <w:b w:val="false"/>
          <w:i/>
          <w:caps w:val="false"/>
          <w:smallCaps w:val="false"/>
          <w:color w:val="0000FF"/>
          <w:sz w:val="20"/>
          <w:u w:val="single"/>
        </w:rPr>
        <w:t>plus</w:t>
      </w:r>
      <w:r>
        <w:rPr>
          <w:rFonts w:ascii="Times New Roman;Times;Serif" w:hAnsi="Times New Roman;Times;Serif"/>
          <w:b w:val="false"/>
          <w:i w:val="false"/>
          <w:caps w:val="false"/>
          <w:smallCaps w:val="false"/>
          <w:color w:val="0000FF"/>
          <w:sz w:val="20"/>
          <w:u w:val="single"/>
        </w:rPr>
        <w:t xml:space="preserve"> the Applicable Margin applicable to SOFR Advances. </w:t>
      </w:r>
      <w:r>
        <w:rPr>
          <w:rFonts w:ascii="Times New Roman;Times;Serif" w:hAnsi="Times New Roman;Times;Serif"/>
          <w:b w:val="false"/>
          <w:i w:val="false"/>
          <w:caps w:val="false"/>
          <w:smallCaps w:val="false"/>
          <w:sz w:val="20"/>
        </w:rPr>
        <w:t>No Interest Period may end after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Rates Applicable After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continuance of a Bankruptcy Event </w:t>
      </w:r>
      <w:r>
        <w:rPr>
          <w:rFonts w:ascii="Times New Roman;Times;Serif" w:hAnsi="Times New Roman;Times;Serif"/>
          <w:b w:val="false"/>
          <w:i w:val="false"/>
          <w:caps w:val="false"/>
          <w:smallCaps w:val="false"/>
          <w:color w:val="0000FF"/>
          <w:sz w:val="20"/>
          <w:u w:val="single"/>
        </w:rPr>
        <w:t xml:space="preserve">of Default </w:t>
      </w:r>
      <w:r>
        <w:rPr>
          <w:rFonts w:ascii="Times New Roman;Times;Serif" w:hAnsi="Times New Roman;Times;Serif"/>
          <w:b w:val="false"/>
          <w:i w:val="false"/>
          <w:caps w:val="false"/>
          <w:smallCaps w:val="false"/>
          <w:sz w:val="20"/>
        </w:rPr>
        <w:t xml:space="preserve">or a Payment Event of Default, the principal of and, to the extent permitted by law, interest on the Loans and any other amounts owing hereunder or under the other Loan Documents shall automatically bear interest at a rate per annum which is equal to the Default Rate and the Letter of Credit Fees shall be set at the Default Rate. </w:t>
      </w:r>
      <w:r>
        <w:rPr>
          <w:rFonts w:ascii="Times New Roman;Times;Serif" w:hAnsi="Times New Roman;Times;Serif"/>
          <w:b w:val="false"/>
          <w:i w:val="false"/>
          <w:caps w:val="false"/>
          <w:smallCaps w:val="false"/>
          <w:color w:val="0000FF"/>
          <w:sz w:val="20"/>
          <w:u w:val="single"/>
        </w:rPr>
        <w:t xml:space="preserve">Upon the occurrence and during the continuance of a Bankruptcy Event of Default or a Payment Event of Default, all outstanding Alternative Currency RFR Advances shall, at the election of the Agent or the Required Alternative Currency Lenders, be converted into CB Floating Rate Advances denominated in Dollars in an amount equal to the Dollar Equivalent thereof; provided that, until so converted, payments of principal and interest on such Alternative Currency Loans shall be for the account of the Alternative Currency Lenders holding such Alternative Currency Loans. </w:t>
      </w:r>
      <w:r>
        <w:rPr>
          <w:rFonts w:ascii="Times New Roman;Times;Serif" w:hAnsi="Times New Roman;Times;Serif"/>
          <w:b w:val="false"/>
          <w:i w:val="false"/>
          <w:caps w:val="false"/>
          <w:smallCaps w:val="false"/>
          <w:sz w:val="20"/>
        </w:rPr>
        <w:t xml:space="preserve">Any default interest owing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shall be due and payable on the earlier to occur of (x) demand by the Agent (which demand the Agent shall make if directed by the Required Lenders) and (y) the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All</w:t>
      </w:r>
      <w:r>
        <w:rPr>
          <w:rFonts w:ascii="Times New Roman;Times;Serif" w:hAnsi="Times New Roman;Times;Serif"/>
          <w:b w:val="false"/>
          <w:i w:val="false"/>
          <w:caps w:val="false"/>
          <w:smallCaps w:val="false"/>
          <w:color w:val="0000FF"/>
          <w:sz w:val="20"/>
          <w:u w:val="single"/>
        </w:rPr>
        <w:t>Except as otherwise expressly provided herein, including with respect to payments to the Swingline Lender under Section 2.1(b), all</w:t>
      </w:r>
      <w:r>
        <w:rPr>
          <w:rFonts w:ascii="Times New Roman;Times;Serif" w:hAnsi="Times New Roman;Times;Serif"/>
          <w:b w:val="false"/>
          <w:i w:val="false"/>
          <w:caps w:val="false"/>
          <w:smallCaps w:val="false"/>
          <w:sz w:val="20"/>
        </w:rPr>
        <w:t xml:space="preserve"> payments of the Obligations hereunder shall be made, without setoff, deduction, or counterclaim, in </w:t>
      </w:r>
      <w:r>
        <w:rPr>
          <w:rFonts w:ascii="Times New Roman;Times;Serif" w:hAnsi="Times New Roman;Times;Serif"/>
          <w:b w:val="false"/>
          <w:i w:val="false"/>
          <w:caps w:val="false"/>
          <w:smallCaps w:val="false"/>
          <w:color w:val="0000FF"/>
          <w:sz w:val="20"/>
          <w:u w:val="single"/>
        </w:rPr>
        <w:t xml:space="preserve">the Applicable Currency of such Obligations in </w:t>
      </w:r>
      <w:r>
        <w:rPr>
          <w:rFonts w:ascii="Times New Roman;Times;Serif" w:hAnsi="Times New Roman;Times;Serif"/>
          <w:b w:val="false"/>
          <w:i w:val="false"/>
          <w:caps w:val="false"/>
          <w:smallCaps w:val="false"/>
          <w:sz w:val="20"/>
        </w:rPr>
        <w:t xml:space="preserve">immediately available funds to the Agent at the Agent’s address specified pursuant to </w:t>
      </w:r>
      <w:r>
        <w:rPr>
          <w:rFonts w:ascii="Times New Roman;Times;Serif" w:hAnsi="Times New Roman;Times;Serif"/>
          <w:b w:val="false"/>
          <w:i w:val="false"/>
          <w:caps w:val="false"/>
          <w:smallCaps w:val="false"/>
          <w:sz w:val="20"/>
          <w:u w:val="single"/>
        </w:rPr>
        <w:t xml:space="preserve">Article XIII </w:t>
      </w:r>
      <w:r>
        <w:rPr>
          <w:rFonts w:ascii="Times New Roman;Times;Serif" w:hAnsi="Times New Roman;Times;Serif"/>
          <w:b w:val="false"/>
          <w:i w:val="false"/>
          <w:caps w:val="false"/>
          <w:smallCaps w:val="false"/>
          <w:color w:val="0000FF"/>
          <w:sz w:val="20"/>
          <w:u w:val="single"/>
        </w:rPr>
        <w:t>or such other account or office as the Agent may designate</w:t>
      </w:r>
      <w:r>
        <w:rPr>
          <w:rFonts w:ascii="Times New Roman;Times;Serif" w:hAnsi="Times New Roman;Times;Serif"/>
          <w:b w:val="false"/>
          <w:i w:val="false"/>
          <w:caps w:val="false"/>
          <w:smallCaps w:val="false"/>
          <w:sz w:val="20"/>
        </w:rPr>
        <w:t xml:space="preserve">, by 1:00 P.M. (Fort Worth, Texas time) </w:t>
      </w:r>
      <w:r>
        <w:rPr>
          <w:rFonts w:ascii="Times New Roman;Times;Serif" w:hAnsi="Times New Roman;Times;Serif"/>
          <w:b w:val="false"/>
          <w:i w:val="false"/>
          <w:caps w:val="false"/>
          <w:smallCaps w:val="false"/>
          <w:color w:val="0000FF"/>
          <w:sz w:val="20"/>
          <w:u w:val="single"/>
        </w:rPr>
        <w:t xml:space="preserve">in the case of payments in Dollars and by the applicable time specified by the Agent in the case of payments in an Alternative Currency, </w:t>
      </w:r>
      <w:r>
        <w:rPr>
          <w:rFonts w:ascii="Times New Roman;Times;Serif" w:hAnsi="Times New Roman;Times;Serif"/>
          <w:b w:val="false"/>
          <w:i w:val="false"/>
          <w:caps w:val="false"/>
          <w:smallCaps w:val="false"/>
          <w:sz w:val="20"/>
        </w:rPr>
        <w:t xml:space="preserve">on the date when due </w:t>
      </w:r>
      <w:r>
        <w:rPr>
          <w:rFonts w:ascii="Times New Roman;Times;Serif" w:hAnsi="Times New Roman;Times;Serif"/>
          <w:b w:val="false"/>
          <w:i w:val="false"/>
          <w:caps w:val="false"/>
          <w:smallCaps w:val="false"/>
          <w:strike/>
          <w:color w:val="FF0000"/>
          <w:sz w:val="20"/>
        </w:rPr>
        <w:t>and shall be applied ratably by the Agent among the Lenders</w:t>
      </w:r>
      <w:r>
        <w:rPr>
          <w:rFonts w:ascii="Times New Roman;Times;Serif" w:hAnsi="Times New Roman;Times;Serif"/>
          <w:b w:val="false"/>
          <w:i w:val="false"/>
          <w:caps w:val="false"/>
          <w:smallCaps w:val="false"/>
          <w:sz w:val="20"/>
        </w:rPr>
        <w:t xml:space="preserve">. Each payment delivered to the Agent for the account of any Lender shall be delivered promptly by the Agent to such Lender in the same type of funds that the Agent received at its address specified pursuant to Article XIII or at any Lending Installation specified in a notice received by the Agent from such Lender. </w:t>
      </w:r>
      <w:r>
        <w:rPr>
          <w:rFonts w:ascii="Times New Roman;Times;Serif" w:hAnsi="Times New Roman;Times;Serif"/>
          <w:b w:val="false"/>
          <w:i w:val="false"/>
          <w:caps w:val="false"/>
          <w:smallCaps w:val="false"/>
          <w:color w:val="0000FF"/>
          <w:sz w:val="20"/>
          <w:u w:val="single"/>
        </w:rPr>
        <w:t>Except as otherwise expressly provided herein, all payments with respect to any Loan or Letter of Credit denominated in an Alternative Currency shall be made in such Alternative Currency and shall be applied and distributed solely to the Alternative Currency Lenders in accordance with their Alternative Currency Pro Rata Shares or the actual amounts owed to such Alternative Currency Lenders, as applicable. No Lender that is not an Alternative Currency Lender shall be required to receive, process or share in principal or interest payments on Alternative Currency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Noteless Agreement; Evidence of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maintain in accordance with its usual practice an account or accounts evidencing the indebtedness of </w:t>
      </w:r>
      <w:r>
        <w:rPr>
          <w:rFonts w:ascii="Times New Roman;Times;Serif" w:hAnsi="Times New Roman;Times;Serif"/>
          <w:b w:val="false"/>
          <w:i w:val="false"/>
          <w:caps w:val="false"/>
          <w:smallCaps w:val="false"/>
          <w:color w:val="0000FF"/>
          <w:sz w:val="20"/>
          <w:u w:val="single"/>
        </w:rPr>
        <w:t xml:space="preserve">each of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such Lender resulting from each Loan made by such Lender from time to time, including </w:t>
      </w:r>
      <w:r>
        <w:rPr>
          <w:rFonts w:ascii="Times New Roman;Times;Serif" w:hAnsi="Times New Roman;Times;Serif"/>
          <w:b w:val="false"/>
          <w:i w:val="false"/>
          <w:caps w:val="false"/>
          <w:smallCaps w:val="false"/>
          <w:color w:val="0000FF"/>
          <w:sz w:val="20"/>
          <w:u w:val="single"/>
        </w:rPr>
        <w:t xml:space="preserve">the Currency of such Loan and </w:t>
      </w:r>
      <w:r>
        <w:rPr>
          <w:rFonts w:ascii="Times New Roman;Times;Serif" w:hAnsi="Times New Roman;Times;Serif"/>
          <w:b w:val="false"/>
          <w:i w:val="false"/>
          <w:caps w:val="false"/>
          <w:smallCaps w:val="false"/>
          <w:sz w:val="20"/>
        </w:rPr>
        <w:t>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shall also maintain accounts in which it will record (i) the amount of each Loan made hereunder, the Type thereof</w:t>
      </w:r>
      <w:r>
        <w:rPr>
          <w:rFonts w:ascii="Times New Roman;Times;Serif" w:hAnsi="Times New Roman;Times;Serif"/>
          <w:b w:val="false"/>
          <w:i w:val="false"/>
          <w:caps w:val="false"/>
          <w:smallCaps w:val="false"/>
          <w:color w:val="0000FF"/>
          <w:sz w:val="20"/>
          <w:u w:val="single"/>
        </w:rPr>
        <w:t>, the Currency thereof</w:t>
      </w:r>
      <w:r>
        <w:rPr>
          <w:rFonts w:ascii="Times New Roman;Times;Serif" w:hAnsi="Times New Roman;Times;Serif"/>
          <w:b w:val="false"/>
          <w:i w:val="false"/>
          <w:caps w:val="false"/>
          <w:smallCaps w:val="false"/>
          <w:sz w:val="20"/>
        </w:rPr>
        <w:t xml:space="preserve"> and the Interest Period with respect thereto, (ii) the amount of any principal or interest due and payable or to become due and payable from </w:t>
      </w:r>
      <w:r>
        <w:rPr>
          <w:rFonts w:ascii="Times New Roman;Times;Serif" w:hAnsi="Times New Roman;Times;Serif"/>
          <w:b w:val="false"/>
          <w:i w:val="false"/>
          <w:caps w:val="false"/>
          <w:smallCaps w:val="false"/>
          <w:color w:val="0000FF"/>
          <w:sz w:val="20"/>
          <w:u w:val="single"/>
        </w:rPr>
        <w:t xml:space="preserve">each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each Lender hereunder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(iii) the amount of any sum received by the Agent hereunder from </w:t>
      </w:r>
      <w:r>
        <w:rPr>
          <w:rFonts w:ascii="Times New Roman;Times;Serif" w:hAnsi="Times New Roman;Times;Serif"/>
          <w:b w:val="false"/>
          <w:i w:val="false"/>
          <w:caps w:val="false"/>
          <w:smallCaps w:val="false"/>
          <w:color w:val="0000FF"/>
          <w:sz w:val="20"/>
          <w:u w:val="single"/>
        </w:rPr>
        <w:t xml:space="preserve">each of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each Lender’s share thereof </w:t>
      </w:r>
      <w:r>
        <w:rPr>
          <w:rFonts w:ascii="Times New Roman;Times;Serif" w:hAnsi="Times New Roman;Times;Serif"/>
          <w:b w:val="false"/>
          <w:i w:val="false"/>
          <w:caps w:val="false"/>
          <w:smallCaps w:val="false"/>
          <w:color w:val="0000FF"/>
          <w:sz w:val="20"/>
          <w:u w:val="single"/>
        </w:rPr>
        <w:t>and (iv) each Alternative Currency Lender’s Alternative Currency Commitment, Alternative Currency Pro Rata Share and Alternative Currency Exposure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in the accounts maintained pursuant to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shall be prima facie evidence of the existence and amounts of the Obligations therein recorded absent manifest error;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failure of the Agent or any Lender to maintain such accounts or any error therein shall not in any manner affect the obligation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repay the Obligations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Lender may request that its Loans be evidenced by a promissory note (a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In such event, </w:t>
      </w:r>
      <w:r>
        <w:rPr>
          <w:rFonts w:ascii="Times New Roman;Times;Serif" w:hAnsi="Times New Roman;Times;Serif"/>
          <w:b w:val="false"/>
          <w:i w:val="false"/>
          <w:caps w:val="false"/>
          <w:smallCaps w:val="false"/>
          <w:strike/>
          <w:color w:val="FF0000"/>
          <w:sz w:val="20"/>
        </w:rPr>
        <w:t>the Borrower</w:t>
      </w:r>
      <w:r>
        <w:rPr>
          <w:rFonts w:ascii="Times New Roman;Times;Serif" w:hAnsi="Times New Roman;Times;Serif"/>
          <w:b w:val="false"/>
          <w:i w:val="false"/>
          <w:caps w:val="false"/>
          <w:smallCaps w:val="false"/>
          <w:color w:val="0000FF"/>
          <w:sz w:val="20"/>
          <w:u w:val="single"/>
        </w:rPr>
        <w:t>each of the Borrowers, as applicable,</w:t>
      </w:r>
      <w:r>
        <w:rPr>
          <w:rFonts w:ascii="Times New Roman;Times;Serif" w:hAnsi="Times New Roman;Times;Serif"/>
          <w:b w:val="false"/>
          <w:i w:val="false"/>
          <w:caps w:val="false"/>
          <w:smallCaps w:val="false"/>
          <w:sz w:val="20"/>
        </w:rPr>
        <w:t xml:space="preserve"> shall execute and deliver to such Lender a Note payable to such Lender in substantially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Thereafter, the Loans evidenced by such Note and interest thereon shall at all times (including after any assignment pursuant to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be represented by one or more Notes payable to the payee named therein or any assignee permitted pursuant to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except to the extent that any such Lender or assignee subsequently returns any such Note for cancellation and requests that such Loans once again be evidenced as described in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trike/>
          <w:color w:val="FF0000"/>
          <w:sz w:val="20"/>
          <w:u w:val="single"/>
        </w:rPr>
        <w:t>Telephonic/</w:t>
      </w:r>
      <w:r>
        <w:rPr>
          <w:rFonts w:ascii="Times New Roman;Times;Serif" w:hAnsi="Times New Roman;Times;Serif"/>
          <w:b w:val="false"/>
          <w:i w:val="false"/>
          <w:caps w:val="false"/>
          <w:smallCaps w:val="false"/>
          <w:sz w:val="20"/>
          <w:u w:val="single"/>
        </w:rPr>
        <w:t>Electronic Notices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hereby authorizes the Lenders and the Agent to extend, convert or continue Advances, effect selections of Types of Advances and </w:t>
      </w:r>
      <w:r>
        <w:rPr>
          <w:rFonts w:ascii="Times New Roman;Times;Serif" w:hAnsi="Times New Roman;Times;Serif"/>
          <w:b w:val="false"/>
          <w:i w:val="false"/>
          <w:caps w:val="false"/>
          <w:smallCaps w:val="false"/>
          <w:color w:val="0000FF"/>
          <w:sz w:val="20"/>
          <w:u w:val="single"/>
        </w:rPr>
        <w:t xml:space="preserve">Applicable Currencies and </w:t>
      </w:r>
      <w:r>
        <w:rPr>
          <w:rFonts w:ascii="Times New Roman;Times;Serif" w:hAnsi="Times New Roman;Times;Serif"/>
          <w:b w:val="false"/>
          <w:i w:val="false"/>
          <w:caps w:val="false"/>
          <w:smallCaps w:val="false"/>
          <w:sz w:val="20"/>
        </w:rPr>
        <w:t xml:space="preserve">to transfer funds based on </w:t>
      </w:r>
      <w:r>
        <w:rPr>
          <w:rFonts w:ascii="Times New Roman;Times;Serif" w:hAnsi="Times New Roman;Times;Serif"/>
          <w:b w:val="false"/>
          <w:i w:val="false"/>
          <w:caps w:val="false"/>
          <w:smallCaps w:val="false"/>
          <w:strike/>
          <w:color w:val="FF0000"/>
          <w:sz w:val="20"/>
        </w:rPr>
        <w:t xml:space="preserve">telephonic or </w:t>
      </w:r>
      <w:r>
        <w:rPr>
          <w:rFonts w:ascii="Times New Roman;Times;Serif" w:hAnsi="Times New Roman;Times;Serif"/>
          <w:b w:val="false"/>
          <w:i w:val="false"/>
          <w:caps w:val="false"/>
          <w:smallCaps w:val="false"/>
          <w:sz w:val="20"/>
        </w:rPr>
        <w:t>electronic notices (including notices delivered over e-mail) made by any Person or Persons whom the Agent or any Lender in good faith believes to be acting on behalf of the Borrower</w:t>
      </w:r>
      <w:r>
        <w:rPr>
          <w:rFonts w:ascii="Times New Roman;Times;Serif" w:hAnsi="Times New Roman;Times;Serif"/>
          <w:b w:val="false"/>
          <w:i w:val="false"/>
          <w:caps w:val="false"/>
          <w:smallCaps w:val="false"/>
          <w:color w:val="0000FF"/>
          <w:sz w:val="20"/>
          <w:u w:val="single"/>
        </w:rPr>
        <w:t xml:space="preserve"> Representative</w:t>
      </w:r>
      <w:r>
        <w:rPr>
          <w:rFonts w:ascii="Times New Roman;Times;Serif" w:hAnsi="Times New Roman;Times;Serif"/>
          <w:b w:val="false"/>
          <w:i w:val="false"/>
          <w:caps w:val="false"/>
          <w:smallCaps w:val="false"/>
          <w:sz w:val="20"/>
        </w:rPr>
        <w:t xml:space="preserve">, it being understood that the foregoing authorization is specifically intended to allow Borrowing Notices and Conversion/Continuation Notices to be given </w:t>
      </w:r>
      <w:r>
        <w:rPr>
          <w:rFonts w:ascii="Times New Roman;Times;Serif" w:hAnsi="Times New Roman;Times;Serif"/>
          <w:b w:val="false"/>
          <w:i w:val="false"/>
          <w:caps w:val="false"/>
          <w:smallCaps w:val="false"/>
          <w:strike/>
          <w:color w:val="FF0000"/>
          <w:sz w:val="20"/>
        </w:rPr>
        <w:t xml:space="preserve">telephonically or </w:t>
      </w:r>
      <w:r>
        <w:rPr>
          <w:rFonts w:ascii="Times New Roman;Times;Serif" w:hAnsi="Times New Roman;Times;Serif"/>
          <w:b w:val="false"/>
          <w:i w:val="false"/>
          <w:caps w:val="false"/>
          <w:smallCaps w:val="false"/>
          <w:sz w:val="20"/>
        </w:rPr>
        <w:t xml:space="preserve">over e-mail.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agrees to deliver promptly to the Agent a written confirmation, if such confirmation is requested by the Agent or any Lender, of each </w:t>
      </w:r>
      <w:r>
        <w:rPr>
          <w:rFonts w:ascii="Times New Roman;Times;Serif" w:hAnsi="Times New Roman;Times;Serif"/>
          <w:b w:val="false"/>
          <w:i w:val="false"/>
          <w:caps w:val="false"/>
          <w:smallCaps w:val="false"/>
          <w:strike/>
          <w:color w:val="FF0000"/>
          <w:sz w:val="20"/>
        </w:rPr>
        <w:t xml:space="preserve">telephonic or </w:t>
      </w:r>
      <w:r>
        <w:rPr>
          <w:rFonts w:ascii="Times New Roman;Times;Serif" w:hAnsi="Times New Roman;Times;Serif"/>
          <w:b w:val="false"/>
          <w:i w:val="false"/>
          <w:caps w:val="false"/>
          <w:smallCaps w:val="false"/>
          <w:sz w:val="20"/>
        </w:rPr>
        <w:t>e-mail notice signed by an Authorized Officer. If the written confirmation differs in any material respect from the action taken by the Agent and the Lenders, the records of the Agent and the Lenders shall govern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Interest Payment Dates; Interest and Fee Basis</w:t>
      </w:r>
      <w:r>
        <w:rPr>
          <w:rFonts w:ascii="Times New Roman;Times;Serif" w:hAnsi="Times New Roman;Times;Serif"/>
          <w:b w:val="false"/>
          <w:i w:val="false"/>
          <w:caps w:val="false"/>
          <w:smallCaps w:val="false"/>
          <w:sz w:val="20"/>
        </w:rPr>
        <w:t xml:space="preserve">. Interest accrued on each CB Floating Rate Advance shall be payable on each Payment Date, commencing with the first such date to occur after the date hereof. Interest accrued on each SOFR Advance shall be payable on the last day of its applicable Interest Period, on any date on which </w:t>
      </w:r>
      <w:r>
        <w:rPr>
          <w:rFonts w:ascii="Times New Roman;Times;Serif" w:hAnsi="Times New Roman;Times;Serif"/>
          <w:b w:val="false"/>
          <w:i w:val="false"/>
          <w:caps w:val="false"/>
          <w:smallCaps w:val="false"/>
          <w:strike/>
          <w:color w:val="FF0000"/>
          <w:sz w:val="20"/>
        </w:rPr>
        <w:t>the SOFR</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Advance is prepaid, whether by acceleration or otherwise, and on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for any SOFR Advance having an Interest Period longer than three (3) months, interest accrued on such </w:t>
      </w:r>
      <w:r>
        <w:rPr>
          <w:rFonts w:ascii="Times New Roman;Times;Serif" w:hAnsi="Times New Roman;Times;Serif"/>
          <w:b w:val="false"/>
          <w:i w:val="false"/>
          <w:caps w:val="false"/>
          <w:smallCaps w:val="false"/>
          <w:strike/>
          <w:color w:val="FF0000"/>
          <w:sz w:val="20"/>
        </w:rPr>
        <w:t xml:space="preserve">SOFR </w:t>
      </w:r>
      <w:r>
        <w:rPr>
          <w:rFonts w:ascii="Times New Roman;Times;Serif" w:hAnsi="Times New Roman;Times;Serif"/>
          <w:b w:val="false"/>
          <w:i w:val="false"/>
          <w:caps w:val="false"/>
          <w:smallCaps w:val="false"/>
          <w:sz w:val="20"/>
        </w:rPr>
        <w:t>Advance shall also be payable on each three (3) month anniversary following the first day of such Interest Period</w:t>
      </w:r>
      <w:r>
        <w:rPr>
          <w:rFonts w:ascii="Times New Roman;Times;Serif" w:hAnsi="Times New Roman;Times;Serif"/>
          <w:b w:val="false"/>
          <w:i w:val="false"/>
          <w:caps w:val="false"/>
          <w:smallCaps w:val="false"/>
          <w:color w:val="0000FF"/>
          <w:sz w:val="20"/>
          <w:u w:val="single"/>
        </w:rPr>
        <w:t>. Interest accrued on each Alternative Currency RFR Advance shall be payable on each Payment Date, on any date on which such Advance is prepaid, whether by acceleration or otherwise, and on the Maturity Date</w:t>
      </w:r>
      <w:r>
        <w:rPr>
          <w:rFonts w:ascii="Times New Roman;Times;Serif" w:hAnsi="Times New Roman;Times;Serif"/>
          <w:b w:val="false"/>
          <w:i w:val="false"/>
          <w:caps w:val="false"/>
          <w:smallCaps w:val="false"/>
          <w:sz w:val="20"/>
        </w:rPr>
        <w:t xml:space="preserve">. Interest payable hereunder with respect to any CB Floating Rate Advance shall be calculated on the basis of a year of 365 days (or 366 days, as applicable) </w:t>
      </w:r>
      <w:r>
        <w:rPr>
          <w:rFonts w:ascii="Times New Roman;Times;Serif" w:hAnsi="Times New Roman;Times;Serif"/>
          <w:b w:val="false"/>
          <w:i w:val="false"/>
          <w:caps w:val="false"/>
          <w:smallCaps w:val="false"/>
          <w:color w:val="0000FF"/>
          <w:sz w:val="20"/>
          <w:u w:val="single"/>
        </w:rPr>
        <w:t xml:space="preserve">for the actual days elapsed. Interest payable hereunder with respect to any Alternative Currency RFR Advance denominated in Sterling shall be calculated on the basis of a year of 365 days </w:t>
      </w:r>
      <w:r>
        <w:rPr>
          <w:rFonts w:ascii="Times New Roman;Times;Serif" w:hAnsi="Times New Roman;Times;Serif"/>
          <w:b w:val="false"/>
          <w:i w:val="false"/>
          <w:caps w:val="false"/>
          <w:smallCaps w:val="false"/>
          <w:sz w:val="20"/>
        </w:rPr>
        <w:t xml:space="preserve">for the actual days elapsed. All other fees and interest payable hereunder shall be calculated on the basis of a 360-day year for the actual days elapsed. Interest shall be payable for the day an Advance is made but not for the day of any payment on the amount paid if payment is received prior to </w:t>
      </w:r>
      <w:r>
        <w:rPr>
          <w:rFonts w:ascii="Times New Roman;Times;Serif" w:hAnsi="Times New Roman;Times;Serif"/>
          <w:b w:val="false"/>
          <w:i w:val="false"/>
          <w:caps w:val="false"/>
          <w:smallCaps w:val="false"/>
          <w:strike/>
          <w:color w:val="FF0000"/>
          <w:sz w:val="20"/>
        </w:rPr>
        <w:t>1:00 P.M. (Fort Worth, Texas time) at the Lending Installation for the Agent</w:t>
      </w:r>
      <w:r>
        <w:rPr>
          <w:rFonts w:ascii="Times New Roman;Times;Serif" w:hAnsi="Times New Roman;Times;Serif"/>
          <w:b w:val="false"/>
          <w:i w:val="false"/>
          <w:caps w:val="false"/>
          <w:smallCaps w:val="false"/>
          <w:color w:val="0000FF"/>
          <w:sz w:val="20"/>
          <w:u w:val="single"/>
        </w:rPr>
        <w:t>the applicable time for payment set forth in Section 2.12</w:t>
      </w:r>
      <w:r>
        <w:rPr>
          <w:rFonts w:ascii="Times New Roman;Times;Serif" w:hAnsi="Times New Roman;Times;Serif"/>
          <w:b w:val="false"/>
          <w:i w:val="false"/>
          <w:caps w:val="false"/>
          <w:smallCaps w:val="false"/>
          <w:sz w:val="20"/>
        </w:rPr>
        <w:t>. If any payment of principal of or interest on an Advance shall become due on a day which is not a Business Day, such payment shall be made on the next succeeding Business Day and, in the case of a principal payment, such extension of time shall be included in computing interest in connection with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Notification of Advances, Interest Rates, Prepayments and Commitment Reductions</w:t>
      </w:r>
      <w:r>
        <w:rPr>
          <w:rFonts w:ascii="Times New Roman;Times;Serif" w:hAnsi="Times New Roman;Times;Serif"/>
          <w:b w:val="false"/>
          <w:i w:val="false"/>
          <w:caps w:val="false"/>
          <w:smallCaps w:val="false"/>
          <w:sz w:val="20"/>
        </w:rPr>
        <w:t xml:space="preserve">. Promptly after receipt thereof, the Agent will notify each Lender of the contents of each Aggregate Commitment reduction notice, Borrowing Notice, Conversion/Continuation Notice,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repayment notice </w:t>
      </w:r>
      <w:r>
        <w:rPr>
          <w:rFonts w:ascii="Times New Roman;Times;Serif" w:hAnsi="Times New Roman;Times;Serif"/>
          <w:b w:val="false"/>
          <w:i w:val="false"/>
          <w:caps w:val="false"/>
          <w:smallCaps w:val="false"/>
          <w:color w:val="0000FF"/>
          <w:sz w:val="20"/>
          <w:u w:val="single"/>
        </w:rPr>
        <w:t xml:space="preserve">and any notice with respect to an Advance or Letter of Credit denominated in an Alternative Currency </w:t>
      </w:r>
      <w:r>
        <w:rPr>
          <w:rFonts w:ascii="Times New Roman;Times;Serif" w:hAnsi="Times New Roman;Times;Serif"/>
          <w:b w:val="false"/>
          <w:i w:val="false"/>
          <w:caps w:val="false"/>
          <w:smallCaps w:val="false"/>
          <w:sz w:val="20"/>
        </w:rPr>
        <w:t>received by it hereunder</w:t>
      </w:r>
      <w:r>
        <w:rPr>
          <w:rFonts w:ascii="Times New Roman;Times;Serif" w:hAnsi="Times New Roman;Times;Serif"/>
          <w:b w:val="false"/>
          <w:i w:val="false"/>
          <w:caps w:val="false"/>
          <w:smallCaps w:val="false"/>
          <w:color w:val="0000FF"/>
          <w:sz w:val="20"/>
          <w:u w:val="single"/>
        </w:rPr>
        <w:t>; provided that, with respect to notices relating solely to Alternative Currency Loans or L/C Obligations denominated in Alternative Currencies, the Agent may give such notices only to the Alternative Currency Lenders and the L/C Issuer, as applicable</w:t>
      </w:r>
      <w:r>
        <w:rPr>
          <w:rFonts w:ascii="Times New Roman;Times;Serif" w:hAnsi="Times New Roman;Times;Serif"/>
          <w:b w:val="false"/>
          <w:i w:val="false"/>
          <w:caps w:val="false"/>
          <w:smallCaps w:val="false"/>
          <w:sz w:val="20"/>
        </w:rPr>
        <w:t xml:space="preserve">. The Agent will notify each </w:t>
      </w:r>
      <w:r>
        <w:rPr>
          <w:rFonts w:ascii="Times New Roman;Times;Serif" w:hAnsi="Times New Roman;Times;Serif"/>
          <w:b w:val="false"/>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 xml:space="preserve">Lender of the interest rate applicable to each SOFR Advance </w:t>
      </w:r>
      <w:r>
        <w:rPr>
          <w:rFonts w:ascii="Times New Roman;Times;Serif" w:hAnsi="Times New Roman;Times;Serif"/>
          <w:b w:val="false"/>
          <w:i w:val="false"/>
          <w:caps w:val="false"/>
          <w:smallCaps w:val="false"/>
          <w:color w:val="0000FF"/>
          <w:sz w:val="20"/>
          <w:u w:val="single"/>
        </w:rPr>
        <w:t xml:space="preserve">and Alternative Currency RFR Advance </w:t>
      </w:r>
      <w:r>
        <w:rPr>
          <w:rFonts w:ascii="Times New Roman;Times;Serif" w:hAnsi="Times New Roman;Times;Serif"/>
          <w:b w:val="false"/>
          <w:i w:val="false"/>
          <w:caps w:val="false"/>
          <w:smallCaps w:val="false"/>
          <w:sz w:val="20"/>
        </w:rPr>
        <w:t>promptly upon determination of such interest rate and will give each Lender prompt notice of each change in the Prime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Lending Installations</w:t>
      </w:r>
      <w:r>
        <w:rPr>
          <w:rFonts w:ascii="Times New Roman;Times;Serif" w:hAnsi="Times New Roman;Times;Serif"/>
          <w:b w:val="false"/>
          <w:i w:val="false"/>
          <w:caps w:val="false"/>
          <w:smallCaps w:val="false"/>
          <w:sz w:val="20"/>
        </w:rPr>
        <w:t xml:space="preserve">. Each Lender may book its Loans at any Lending Installation selected by such Lender and may change its Lending Installation from time to time. All terms of this Agreement shall apply to any such Lending Installation and the Loans and any Notes issued hereunder shall be deemed held by each Lender for the benefit of any such Lending Installation. Each Lender may, by written notice to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designate replacement or additional Lending Installations through which Loans will be made by it and for whose account Loan payments are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Non-Receipt of Funds by the Agent</w:t>
      </w:r>
      <w:r>
        <w:rPr>
          <w:rFonts w:ascii="Times New Roman;Times;Serif" w:hAnsi="Times New Roman;Times;Serif"/>
          <w:b w:val="false"/>
          <w:i w:val="false"/>
          <w:caps w:val="false"/>
          <w:smallCaps w:val="false"/>
          <w:sz w:val="20"/>
        </w:rPr>
        <w:t xml:space="preserve">. Unless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 Lender, as the case may be, notifies the Agent </w:t>
      </w:r>
      <w:r>
        <w:rPr>
          <w:rFonts w:ascii="Times New Roman;Times;Serif" w:hAnsi="Times New Roman;Times;Serif"/>
          <w:b w:val="false"/>
          <w:i w:val="false"/>
          <w:caps w:val="false"/>
          <w:smallCaps w:val="false"/>
          <w:color w:val="0000FF"/>
          <w:sz w:val="20"/>
          <w:u w:val="single"/>
        </w:rPr>
        <w:t xml:space="preserve">in writing </w:t>
      </w:r>
      <w:r>
        <w:rPr>
          <w:rFonts w:ascii="Times New Roman;Times;Serif" w:hAnsi="Times New Roman;Times;Serif"/>
          <w:b w:val="false"/>
          <w:i w:val="false"/>
          <w:caps w:val="false"/>
          <w:smallCaps w:val="false"/>
          <w:sz w:val="20"/>
        </w:rPr>
        <w:t xml:space="preserve">prior to the date on which it is scheduled to make payment to the Agent of (i) in the case of a Lender, the proceeds of a Loan or (ii) in the case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 payment of principal, interest or fees to the Agent for the account of the </w:t>
      </w:r>
      <w:r>
        <w:rPr>
          <w:rFonts w:ascii="Times New Roman;Times;Serif" w:hAnsi="Times New Roman;Times;Serif"/>
          <w:b w:val="false"/>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Lenders, that it does not intend to make such payment, the Agent may assume that such payment has been made</w:t>
      </w:r>
      <w:r>
        <w:rPr>
          <w:rFonts w:ascii="Times New Roman;Times;Serif" w:hAnsi="Times New Roman;Times;Serif"/>
          <w:b w:val="false"/>
          <w:i w:val="false"/>
          <w:caps w:val="false"/>
          <w:smallCaps w:val="false"/>
          <w:color w:val="0000FF"/>
          <w:sz w:val="20"/>
          <w:u w:val="single"/>
        </w:rPr>
        <w:t>; provided that, with respect to any Alternative Currency Loan, references in this Section to a Lender shall mean the applicable Alternative Currency Lender and references to the applicable Lenders shall mean the Alternative Currency Lenders entitled to such payment</w:t>
      </w:r>
      <w:r>
        <w:rPr>
          <w:rFonts w:ascii="Times New Roman;Times;Serif" w:hAnsi="Times New Roman;Times;Serif"/>
          <w:b w:val="false"/>
          <w:i w:val="false"/>
          <w:caps w:val="false"/>
          <w:smallCaps w:val="false"/>
          <w:sz w:val="20"/>
        </w:rPr>
        <w:t xml:space="preserve">. The Agent may, but shall not be obligated to, make the amount of such payment available to the intended recipient in reliance upon such assumption. If such Lender 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as the case may be, has not in fact made such payment to the Agent, the recipient of such payment shall, on demand by the Agent, repay to the Agent the amount so made available together with interest thereon in respect of each day during the period commencing on the date such amount was so made available by the Agent until the date the Agent recovers such amount at a rate per annum equal to (a) in the case of payment by a Lender, the Federal Funds Effective Rate for such day for the first three (3) days and, thereafter, the interest rate applicable to the relevant Loan or (b) in the case of payment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the interest rate applicable to the relevant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Letter of Credit Commitment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terms and conditions set forth herein, (A) the L/C Issuer agrees, in reliance upon the agreements of the other Lenders </w:t>
      </w:r>
      <w:r>
        <w:rPr>
          <w:rFonts w:ascii="Times New Roman;Times;Serif" w:hAnsi="Times New Roman;Times;Serif"/>
          <w:b w:val="false"/>
          <w:i w:val="false"/>
          <w:caps w:val="false"/>
          <w:smallCaps w:val="false"/>
          <w:color w:val="0000FF"/>
          <w:sz w:val="20"/>
          <w:u w:val="single"/>
        </w:rPr>
        <w:t xml:space="preserve">or, with respect to Letters of Credit denominated in Alternative Currencies, the Alternative Currency Lenders </w:t>
      </w:r>
      <w:r>
        <w:rPr>
          <w:rFonts w:ascii="Times New Roman;Times;Serif" w:hAnsi="Times New Roman;Times;Serif"/>
          <w:b w:val="false"/>
          <w:i w:val="false"/>
          <w:caps w:val="false"/>
          <w:smallCaps w:val="false"/>
          <w:sz w:val="20"/>
        </w:rPr>
        <w:t xml:space="preserve">set forth in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from time to time on any Business Day during the period from the Closing Date until the day immediately prior to the Maturity Date, to issue Letters of Credit </w:t>
      </w:r>
      <w:r>
        <w:rPr>
          <w:rFonts w:ascii="Times New Roman;Times;Serif" w:hAnsi="Times New Roman;Times;Serif"/>
          <w:b w:val="false"/>
          <w:i w:val="false"/>
          <w:caps w:val="false"/>
          <w:smallCaps w:val="false"/>
          <w:color w:val="0000FF"/>
          <w:sz w:val="20"/>
          <w:u w:val="single"/>
        </w:rPr>
        <w:t xml:space="preserve">in Approved Currencies </w:t>
      </w:r>
      <w:r>
        <w:rPr>
          <w:rFonts w:ascii="Times New Roman;Times;Serif" w:hAnsi="Times New Roman;Times;Serif"/>
          <w:b w:val="false"/>
          <w:i w:val="false"/>
          <w:caps w:val="false"/>
          <w:smallCaps w:val="false"/>
          <w:sz w:val="20"/>
        </w:rPr>
        <w:t xml:space="preserve">for the account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or any of its Subsidiaries, and to amend or renew Letters of Credit previously issued by it, in accordance with </w:t>
      </w:r>
      <w:r>
        <w:rPr>
          <w:rFonts w:ascii="Times New Roman;Times;Serif" w:hAnsi="Times New Roman;Times;Serif"/>
          <w:b w:val="false"/>
          <w:i w:val="false"/>
          <w:caps w:val="false"/>
          <w:smallCaps w:val="false"/>
          <w:sz w:val="20"/>
          <w:u w:val="single"/>
        </w:rPr>
        <w:t>subsection (b)</w:t>
      </w:r>
      <w:r>
        <w:rPr>
          <w:rFonts w:ascii="Times New Roman;Times;Serif" w:hAnsi="Times New Roman;Times;Serif"/>
          <w:b w:val="false"/>
          <w:i w:val="false"/>
          <w:caps w:val="false"/>
          <w:smallCaps w:val="false"/>
          <w:sz w:val="20"/>
        </w:rPr>
        <w:t xml:space="preserve"> below, and to honor drafts under the Letters of Credit; and (B) the Lenders severally agree to participate in Letters of Credit </w:t>
      </w:r>
      <w:r>
        <w:rPr>
          <w:rFonts w:ascii="Times New Roman;Times;Serif" w:hAnsi="Times New Roman;Times;Serif"/>
          <w:b w:val="false"/>
          <w:i w:val="false"/>
          <w:caps w:val="false"/>
          <w:smallCaps w:val="false"/>
          <w:strike/>
          <w:color w:val="FF0000"/>
          <w:sz w:val="20"/>
        </w:rPr>
        <w:t>issued for the account of the Borrower</w:t>
      </w:r>
      <w:r>
        <w:rPr>
          <w:rFonts w:ascii="Times New Roman;Times;Serif" w:hAnsi="Times New Roman;Times;Serif"/>
          <w:b w:val="false"/>
          <w:i w:val="false"/>
          <w:caps w:val="false"/>
          <w:smallCaps w:val="false"/>
          <w:color w:val="0000FF"/>
          <w:sz w:val="20"/>
          <w:u w:val="single"/>
        </w:rPr>
        <w:t>denominated in Dollars, and the Alternative Currency Lenders severally agree to participate in Letters of Credit denominated in Alternative Currencies</w:t>
      </w:r>
      <w:r>
        <w:rPr>
          <w:rFonts w:ascii="Times New Roman;Times;Serif" w:hAnsi="Times New Roman;Times;Serif"/>
          <w:b w:val="false"/>
          <w:i w:val="false"/>
          <w:caps w:val="false"/>
          <w:smallCaps w:val="false"/>
          <w:sz w:val="20"/>
        </w:rPr>
        <w:t xml:space="preserve">. Within the foregoing limits, and subject to the terms and conditions hereof,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ability to obtain Letters of Credit shall be fully revolving, and accordingly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may, during the foregoing period, obtain Letters of Credit to replace Letters of Credit that have expired or that have been drawn upon and reimbursed.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L/C Issuer shall be under no obligation to issue any Letter of Credit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order, judgment or decree of any Governmental Authority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expiry date of such requested Letter of Credit would occur after the Letter of Credit Expiration Date, unless the Required Lenders have approved such expiry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issuance of such Letter of Credit would violate one or more policies of the L/C Issuer applicable to letters of credit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any provision to the contrary contained in the Loan Documents, the L/C Issuer shall not issue, and no Lender </w:t>
      </w:r>
      <w:r>
        <w:rPr>
          <w:rFonts w:ascii="Times New Roman;Times;Serif" w:hAnsi="Times New Roman;Times;Serif"/>
          <w:b w:val="false"/>
          <w:i w:val="false"/>
          <w:caps w:val="false"/>
          <w:smallCaps w:val="false"/>
          <w:color w:val="0000FF"/>
          <w:sz w:val="20"/>
          <w:u w:val="single"/>
        </w:rPr>
        <w:t xml:space="preserve">or Alternative Currency Lender, as applicable, </w:t>
      </w:r>
      <w:r>
        <w:rPr>
          <w:rFonts w:ascii="Times New Roman;Times;Serif" w:hAnsi="Times New Roman;Times;Serif"/>
          <w:b w:val="false"/>
          <w:i w:val="false"/>
          <w:caps w:val="false"/>
          <w:smallCaps w:val="false"/>
          <w:sz w:val="20"/>
        </w:rPr>
        <w:t xml:space="preserve">shall be obligated to participate in, any Letter of Credit </w:t>
      </w:r>
      <w:r>
        <w:rPr>
          <w:rFonts w:ascii="Times New Roman;Times;Serif" w:hAnsi="Times New Roman;Times;Serif"/>
          <w:b w:val="false"/>
          <w:i w:val="false"/>
          <w:caps w:val="false"/>
          <w:smallCaps w:val="false"/>
          <w:strike/>
          <w:color w:val="FF0000"/>
          <w:sz w:val="20"/>
        </w:rPr>
        <w:t>which, in the aggregate face amount, would cause</w:t>
      </w:r>
      <w:r>
        <w:rPr>
          <w:rFonts w:ascii="Times New Roman;Times;Serif" w:hAnsi="Times New Roman;Times;Serif"/>
          <w:b w:val="false"/>
          <w:i w:val="false"/>
          <w:caps w:val="false"/>
          <w:smallCaps w:val="false"/>
          <w:color w:val="0000FF"/>
          <w:sz w:val="20"/>
          <w:u w:val="single"/>
        </w:rPr>
        <w:t>if, after giving effect to such issuance, (i)</w:t>
      </w:r>
      <w:r>
        <w:rPr>
          <w:rFonts w:ascii="Times New Roman;Times;Serif" w:hAnsi="Times New Roman;Times;Serif"/>
          <w:b w:val="false"/>
          <w:i w:val="false"/>
          <w:caps w:val="false"/>
          <w:smallCaps w:val="false"/>
          <w:sz w:val="20"/>
        </w:rPr>
        <w:t xml:space="preserve"> the Outstanding Amount of all L/C Obligations </w:t>
      </w:r>
      <w:r>
        <w:rPr>
          <w:rFonts w:ascii="Times New Roman;Times;Serif" w:hAnsi="Times New Roman;Times;Serif"/>
          <w:b w:val="false"/>
          <w:i w:val="false"/>
          <w:caps w:val="false"/>
          <w:smallCaps w:val="false"/>
          <w:strike/>
          <w:color w:val="FF0000"/>
          <w:sz w:val="20"/>
        </w:rPr>
        <w:t>to</w:t>
      </w:r>
      <w:r>
        <w:rPr>
          <w:rFonts w:ascii="Times New Roman;Times;Serif" w:hAnsi="Times New Roman;Times;Serif"/>
          <w:b w:val="false"/>
          <w:i w:val="false"/>
          <w:caps w:val="false"/>
          <w:smallCaps w:val="false"/>
          <w:color w:val="0000FF"/>
          <w:sz w:val="20"/>
          <w:u w:val="single"/>
        </w:rPr>
        <w:t>would</w:t>
      </w:r>
      <w:r>
        <w:rPr>
          <w:rFonts w:ascii="Times New Roman;Times;Serif" w:hAnsi="Times New Roman;Times;Serif"/>
          <w:b w:val="false"/>
          <w:i w:val="false"/>
          <w:caps w:val="false"/>
          <w:smallCaps w:val="false"/>
          <w:sz w:val="20"/>
        </w:rPr>
        <w:t xml:space="preserve"> exceed the Letter of Credit Sublimit at any one time, </w:t>
      </w:r>
      <w:r>
        <w:rPr>
          <w:rFonts w:ascii="Times New Roman;Times;Serif" w:hAnsi="Times New Roman;Times;Serif"/>
          <w:b w:val="false"/>
          <w:i w:val="false"/>
          <w:caps w:val="false"/>
          <w:smallCaps w:val="false"/>
          <w:strike/>
          <w:color w:val="FF0000"/>
          <w:sz w:val="20"/>
        </w:rPr>
        <w:t>or which would cause</w:t>
      </w: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xml:space="preserve"> the Outstanding Amount of all Loans, plus the Outstanding Amount of L/C Obligations related to Letters of Credit, </w:t>
      </w:r>
      <w:r>
        <w:rPr>
          <w:rFonts w:ascii="Times New Roman;Times;Serif" w:hAnsi="Times New Roman;Times;Serif"/>
          <w:b w:val="false"/>
          <w:i w:val="false"/>
          <w:caps w:val="false"/>
          <w:smallCaps w:val="false"/>
          <w:strike/>
          <w:color w:val="FF0000"/>
          <w:sz w:val="20"/>
        </w:rPr>
        <w:t>to</w:t>
      </w:r>
      <w:r>
        <w:rPr>
          <w:rFonts w:ascii="Times New Roman;Times;Serif" w:hAnsi="Times New Roman;Times;Serif"/>
          <w:b w:val="false"/>
          <w:i w:val="false"/>
          <w:caps w:val="false"/>
          <w:smallCaps w:val="false"/>
          <w:color w:val="0000FF"/>
          <w:sz w:val="20"/>
          <w:u w:val="single"/>
        </w:rPr>
        <w:t>would</w:t>
      </w:r>
      <w:r>
        <w:rPr>
          <w:rFonts w:ascii="Times New Roman;Times;Serif" w:hAnsi="Times New Roman;Times;Serif"/>
          <w:b w:val="false"/>
          <w:i w:val="false"/>
          <w:caps w:val="false"/>
          <w:smallCaps w:val="false"/>
          <w:sz w:val="20"/>
        </w:rPr>
        <w:t xml:space="preserve"> exceed the Aggregate Commitment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(iii) the sum of (x) the Dollar Equivalent of all outstanding Loans and L/C Obligations denominated in Alternative Currencies and (y) the outstanding L/C Obligations denominated in Dollars would, collectively, exceed the Alternative Currency Sublimit or (iv) the Alternative Currency Exposure of any Alternative Currency Lender would exceed such Alternative Currency Lender’s Alternative Currency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Procedures for Issuance and Amendment of Letters of Credit; Evergreen 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Letter of Credit shall be issued or amended, as the case may be, upon the written request of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delivered to the L/C Issuer (with a copy to the Agent if different than the L/C Issuer) in the form of a Letter of Credit Application, appropriately completed and signed by an Authorized Officer of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Such Letter of Credit Application must be received by the L/C Issuer and the Agent not later than 1:00 p.m., Fort Worth, Texas time, at least two (2) Business Days (or</w:t>
      </w:r>
      <w:r>
        <w:rPr>
          <w:rFonts w:ascii="Times New Roman;Times;Serif" w:hAnsi="Times New Roman;Times;Serif"/>
          <w:b w:val="false"/>
          <w:i w:val="false"/>
          <w:caps w:val="false"/>
          <w:smallCaps w:val="false"/>
          <w:color w:val="0000FF"/>
          <w:sz w:val="20"/>
          <w:u w:val="single"/>
        </w:rPr>
        <w:t>, in the case of a Letter of Credit denominated in an Alternative Currency, five (5) Business Days) prior to the proposed issuance date or date of amendment, as the case may be, or</w:t>
      </w:r>
      <w:r>
        <w:rPr>
          <w:rFonts w:ascii="Times New Roman;Times;Serif" w:hAnsi="Times New Roman;Times;Serif"/>
          <w:b w:val="false"/>
          <w:i w:val="false"/>
          <w:caps w:val="false"/>
          <w:smallCaps w:val="false"/>
          <w:sz w:val="20"/>
        </w:rPr>
        <w:t xml:space="preserve"> such later date and time as the L/C Issuer may agree in a particular instance in its sole discretion</w:t>
      </w:r>
      <w:r>
        <w:rPr>
          <w:rFonts w:ascii="Times New Roman;Times;Serif" w:hAnsi="Times New Roman;Times;Serif"/>
          <w:b w:val="false"/>
          <w:i w:val="false"/>
          <w:caps w:val="false"/>
          <w:smallCaps w:val="false"/>
          <w:strike/>
          <w:color w:val="FF0000"/>
          <w:sz w:val="20"/>
        </w:rPr>
        <w:t>) prior to the proposed issuance date or date of amendment, as the case may be</w:t>
      </w:r>
      <w:r>
        <w:rPr>
          <w:rFonts w:ascii="Times New Roman;Times;Serif" w:hAnsi="Times New Roman;Times;Serif"/>
          <w:b w:val="false"/>
          <w:i w:val="false"/>
          <w:caps w:val="false"/>
          <w:smallCaps w:val="false"/>
          <w:sz w:val="20"/>
        </w:rPr>
        <w:t xml:space="preserve">. In the case of a request for an initial issuance of a Letter of Credit, such Letter of Credit Application shall specify in form and detail satisfactory to the L/C Issuer: (A) the proposed issuance date of the requested Letter of Credit (which shall be a Business Day); (B) the amount </w:t>
      </w:r>
      <w:r>
        <w:rPr>
          <w:rFonts w:ascii="Times New Roman;Times;Serif" w:hAnsi="Times New Roman;Times;Serif"/>
          <w:b w:val="false"/>
          <w:i w:val="false"/>
          <w:caps w:val="false"/>
          <w:smallCaps w:val="false"/>
          <w:color w:val="0000FF"/>
          <w:sz w:val="20"/>
          <w:u w:val="single"/>
        </w:rPr>
        <w:t xml:space="preserve">and Currency </w:t>
      </w:r>
      <w:r>
        <w:rPr>
          <w:rFonts w:ascii="Times New Roman;Times;Serif" w:hAnsi="Times New Roman;Times;Serif"/>
          <w:b w:val="false"/>
          <w:i w:val="false"/>
          <w:caps w:val="false"/>
          <w:smallCaps w:val="false"/>
          <w:sz w:val="20"/>
        </w:rPr>
        <w:t xml:space="preserve">thereof; (C) the expiry date thereof; (D) the name and address of the beneficiary thereof; (E) the </w:t>
      </w:r>
      <w:r>
        <w:rPr>
          <w:rFonts w:ascii="Times New Roman;Times;Serif" w:hAnsi="Times New Roman;Times;Serif"/>
          <w:b w:val="false"/>
          <w:i w:val="false"/>
          <w:caps w:val="false"/>
          <w:smallCaps w:val="false"/>
          <w:color w:val="0000FF"/>
          <w:sz w:val="20"/>
          <w:u w:val="single"/>
        </w:rPr>
        <w:t xml:space="preserve">Borrower or Subsidiary for whose account such Letter of Credit is being issued; (F) the </w:t>
      </w:r>
      <w:r>
        <w:rPr>
          <w:rFonts w:ascii="Times New Roman;Times;Serif" w:hAnsi="Times New Roman;Times;Serif"/>
          <w:b w:val="false"/>
          <w:i w:val="false"/>
          <w:caps w:val="false"/>
          <w:smallCaps w:val="false"/>
          <w:sz w:val="20"/>
        </w:rPr>
        <w:t>documents to be presented by such beneficiary in case of any drawing thereunder; (</w:t>
      </w:r>
      <w:r>
        <w:rPr>
          <w:rFonts w:ascii="Times New Roman;Times;Serif" w:hAnsi="Times New Roman;Times;Serif"/>
          <w:b w:val="false"/>
          <w:i w:val="false"/>
          <w:caps w:val="false"/>
          <w:smallCaps w:val="false"/>
          <w:strike/>
          <w:color w:val="FF0000"/>
          <w:sz w:val="20"/>
        </w:rPr>
        <w:t>F</w:t>
      </w: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sz w:val="20"/>
        </w:rPr>
        <w:t>) the full text of any certificate to be presented by such beneficiary in case of any drawing thereunder; and (</w:t>
      </w:r>
      <w:r>
        <w:rPr>
          <w:rFonts w:ascii="Times New Roman;Times;Serif" w:hAnsi="Times New Roman;Times;Serif"/>
          <w:b w:val="false"/>
          <w:i w:val="false"/>
          <w:caps w:val="false"/>
          <w:smallCaps w:val="false"/>
          <w:strike/>
          <w:color w:val="FF0000"/>
          <w:sz w:val="20"/>
        </w:rPr>
        <w:t>G</w:t>
      </w: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sz w:val="20"/>
        </w:rPr>
        <w:t>) such other matters as the L/C Issuer may require. In the case of a request for an amendment of any outstanding Letter of Credit, such Letter of Credit Application shall specify in form and detail satisfactory to the L/C Issuer (W) the Letter of Credit to be amended; (X) the proposed date of amendment thereof (which shall be a Business Day); (Y) the nature of the proposed amendment; and (Z) such other matters as the L/C Issuer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Promptly after receipt of any Letter of Credit Application, the L/C Issuer (if not the Agent) will confirm with the Agent (</w:t>
      </w:r>
      <w:r>
        <w:rPr>
          <w:rFonts w:ascii="Times New Roman;Times;Serif" w:hAnsi="Times New Roman;Times;Serif"/>
          <w:b w:val="false"/>
          <w:i w:val="false"/>
          <w:caps w:val="false"/>
          <w:smallCaps w:val="false"/>
          <w:strike/>
          <w:color w:val="FF0000"/>
          <w:sz w:val="20"/>
        </w:rPr>
        <w:t xml:space="preserve">by telephone or </w:t>
      </w:r>
      <w:r>
        <w:rPr>
          <w:rFonts w:ascii="Times New Roman;Times;Serif" w:hAnsi="Times New Roman;Times;Serif"/>
          <w:b w:val="false"/>
          <w:i w:val="false"/>
          <w:caps w:val="false"/>
          <w:smallCaps w:val="false"/>
          <w:sz w:val="20"/>
        </w:rPr>
        <w:t xml:space="preserve">in writing </w:t>
      </w:r>
      <w:r>
        <w:rPr>
          <w:rFonts w:ascii="Times New Roman;Times;Serif" w:hAnsi="Times New Roman;Times;Serif"/>
          <w:b w:val="false"/>
          <w:i w:val="false"/>
          <w:caps w:val="false"/>
          <w:smallCaps w:val="false"/>
          <w:color w:val="0000FF"/>
          <w:sz w:val="20"/>
          <w:u w:val="single"/>
        </w:rPr>
        <w:t>(including by e-mail)</w:t>
      </w:r>
      <w:r>
        <w:rPr>
          <w:rFonts w:ascii="Times New Roman;Times;Serif" w:hAnsi="Times New Roman;Times;Serif"/>
          <w:b w:val="false"/>
          <w:i w:val="false"/>
          <w:caps w:val="false"/>
          <w:smallCaps w:val="false"/>
          <w:sz w:val="20"/>
        </w:rPr>
        <w:t xml:space="preserve">) that the Agent has received a copy of such Letter of Credit Application from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and, if not, the L/C Issuer will provide the Agent with a copy thereof. Upon receipt by the L/C Issuer of confirmation from the Agent that the requested issuance or amendment is permitted in accordance with the terms hereof, then, subject to the terms and conditions hereof, the L/C Issuer shall, on the requested date, issue a Letter of Credit for the account of the </w:t>
      </w:r>
      <w:r>
        <w:rPr>
          <w:rFonts w:ascii="Times New Roman;Times;Serif" w:hAnsi="Times New Roman;Times;Serif"/>
          <w:b w:val="false"/>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 xml:space="preserve">Borrower or enter into the applicable amendment, as the case may be, in each case in accordance with the L/C Issuer’s usual and customary business practices. Immediately upon the issuance of each Letter of Credit </w:t>
      </w:r>
      <w:r>
        <w:rPr>
          <w:rFonts w:ascii="Times New Roman;Times;Serif" w:hAnsi="Times New Roman;Times;Serif"/>
          <w:b w:val="false"/>
          <w:i w:val="false"/>
          <w:caps w:val="false"/>
          <w:smallCaps w:val="false"/>
          <w:color w:val="0000FF"/>
          <w:sz w:val="20"/>
          <w:u w:val="single"/>
        </w:rPr>
        <w:t>denominated in Dollars</w:t>
      </w:r>
      <w:r>
        <w:rPr>
          <w:rFonts w:ascii="Times New Roman;Times;Serif" w:hAnsi="Times New Roman;Times;Serif"/>
          <w:b w:val="false"/>
          <w:i w:val="false"/>
          <w:caps w:val="false"/>
          <w:smallCaps w:val="false"/>
          <w:sz w:val="20"/>
        </w:rPr>
        <w:t xml:space="preserve">, each Lender shall be deemed to, and hereby irrevocably and unconditionally agrees to, purchase from the L/C Issuer a participation in such Letter of Credit in an amount equal to the product of such Lender’s Pro Rata Share times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 xml:space="preserve">amount of such Letter of Credit. </w:t>
      </w:r>
      <w:r>
        <w:rPr>
          <w:rFonts w:ascii="Times New Roman;Times;Serif" w:hAnsi="Times New Roman;Times;Serif"/>
          <w:b w:val="false"/>
          <w:i w:val="false"/>
          <w:caps w:val="false"/>
          <w:smallCaps w:val="false"/>
          <w:color w:val="0000FF"/>
          <w:sz w:val="20"/>
          <w:u w:val="single"/>
        </w:rPr>
        <w:t>Immediately upon the issuance of each Letter of Credit denominated in an Alternative Currency, each Alternative Currency Lender shall be deemed to, and hereby irrevocably and unconditionally agrees to, purchase from the L/C Issuer a participation in such Letter of Credit in an amount equal to the product of such Alternative Currency Lender’s Alternative Currency Pro Rata Share times the Dollar Equivalent of the amount of such Letter of Credit; provided that no Lender that is not an Alternative Currency Lender shall be required to purchase or hold any participation in any Letter of Credit denominated in an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to the contrary contained herein or in the other Loan Documents, the L/C Issuer shall have no obligation to permit the renewal of any Letter of Credit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Letter of Credit with a one-year term may provide for the renewal thereof for an additional one-year period (which shall in no event extend beyond the Letter of Credit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Promptly after its delivery of any Letter of Credit or any amendment to a Letter of Credit to an advising bank with respect thereto or to the beneficiary thereof, the L/C Issuer will also deliver to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and the Agent (if different from the L/C Issuer) a true and complete copy of such Letter of Credit 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Drawings and Reimbursements; Funding of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any drawing under any Letter of Credit, the L/C Issuer shall notify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and the Agent (if different than the L/C Issuer) thereof. Not later than 1:00 p.m., Fort Worth, Texas time, on the date of any payment by the L/C Issuer under a Letter of Credit </w:t>
      </w:r>
      <w:r>
        <w:rPr>
          <w:rFonts w:ascii="Times New Roman;Times;Serif" w:hAnsi="Times New Roman;Times;Serif"/>
          <w:b w:val="false"/>
          <w:i w:val="false"/>
          <w:caps w:val="false"/>
          <w:smallCaps w:val="false"/>
          <w:color w:val="0000FF"/>
          <w:sz w:val="20"/>
          <w:u w:val="single"/>
        </w:rPr>
        <w:t xml:space="preserve">denominated in Dollars, and not later than the applicable time specified by the L/C Issuer on the date of any payment by the L/C Issuer under a Letter of Credit denominated in an Alternative Currency </w:t>
      </w:r>
      <w:r>
        <w:rPr>
          <w:rFonts w:ascii="Times New Roman;Times;Serif" w:hAnsi="Times New Roman;Times;Serif"/>
          <w:b w:val="false"/>
          <w:i w:val="false"/>
          <w:caps w:val="false"/>
          <w:smallCaps w:val="false"/>
          <w:sz w:val="20"/>
        </w:rPr>
        <w:t>(each such date, an “</w:t>
      </w:r>
      <w:r>
        <w:rPr>
          <w:rFonts w:ascii="Times New Roman;Times;Serif" w:hAnsi="Times New Roman;Times;Serif"/>
          <w:b w:val="false"/>
          <w:i w:val="false"/>
          <w:caps w:val="false"/>
          <w:smallCaps w:val="false"/>
          <w:sz w:val="20"/>
          <w:u w:val="single"/>
        </w:rPr>
        <w:t>Honor Date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reimburse the L/C Issuer through the Agent </w:t>
      </w:r>
      <w:r>
        <w:rPr>
          <w:rFonts w:ascii="Times New Roman;Times;Serif" w:hAnsi="Times New Roman;Times;Serif"/>
          <w:b w:val="false"/>
          <w:i w:val="false"/>
          <w:caps w:val="false"/>
          <w:smallCaps w:val="false"/>
          <w:color w:val="0000FF"/>
          <w:sz w:val="20"/>
          <w:u w:val="single"/>
        </w:rPr>
        <w:t xml:space="preserve">in the applicable Currency </w:t>
      </w:r>
      <w:r>
        <w:rPr>
          <w:rFonts w:ascii="Times New Roman;Times;Serif" w:hAnsi="Times New Roman;Times;Serif"/>
          <w:b w:val="false"/>
          <w:i w:val="false"/>
          <w:caps w:val="false"/>
          <w:smallCaps w:val="false"/>
          <w:sz w:val="20"/>
        </w:rPr>
        <w:t xml:space="preserve">in an amount equal to the amount of such drawing;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notice is not provided to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prior to 11:00 a.m., Fort Worth, Texas time on such Honor Date, then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reimburse the L/C Issuer through the Agent in an amount equal to the amount of such drawing no later than 1:00 p.m., Fort Worth, Texas time, on the next succeeding Business Day, and such extension of time shall be reflected in computing fees in respect of such Letter of Credit. If the </w:t>
      </w:r>
      <w:r>
        <w:rPr>
          <w:rFonts w:ascii="Times New Roman;Times;Serif" w:hAnsi="Times New Roman;Times;Serif"/>
          <w:b w:val="false"/>
          <w:i w:val="false"/>
          <w:caps w:val="false"/>
          <w:smallCaps w:val="false"/>
          <w:strike/>
          <w:color w:val="FF0000"/>
          <w:sz w:val="20"/>
        </w:rPr>
        <w:t>Borrower fails</w:t>
      </w:r>
      <w:r>
        <w:rPr>
          <w:rFonts w:ascii="Times New Roman;Times;Serif" w:hAnsi="Times New Roman;Times;Serif"/>
          <w:b w:val="false"/>
          <w:i w:val="false"/>
          <w:caps w:val="false"/>
          <w:smallCaps w:val="false"/>
          <w:color w:val="0000FF"/>
          <w:sz w:val="20"/>
          <w:u w:val="single"/>
        </w:rPr>
        <w:t>Borrowers fail</w:t>
      </w:r>
      <w:r>
        <w:rPr>
          <w:rFonts w:ascii="Times New Roman;Times;Serif" w:hAnsi="Times New Roman;Times;Serif"/>
          <w:b w:val="false"/>
          <w:i w:val="false"/>
          <w:caps w:val="false"/>
          <w:smallCaps w:val="false"/>
          <w:sz w:val="20"/>
        </w:rPr>
        <w:t xml:space="preserve"> to so reimburse the L/C Issuer by such time</w:t>
      </w:r>
      <w:r>
        <w:rPr>
          <w:rFonts w:ascii="Times New Roman;Times;Serif" w:hAnsi="Times New Roman;Times;Serif"/>
          <w:b w:val="false"/>
          <w:i w:val="false"/>
          <w:caps w:val="false"/>
          <w:smallCaps w:val="false"/>
          <w:strike/>
          <w:color w:val="FF0000"/>
          <w:sz w:val="20"/>
        </w:rPr>
        <w:t xml:space="preserve">, the Borrower </w:t>
      </w:r>
      <w:r>
        <w:rPr>
          <w:rFonts w:ascii="Times New Roman;Times;Serif" w:hAnsi="Times New Roman;Times;Serif"/>
          <w:b w:val="false"/>
          <w:i w:val="false"/>
          <w:caps w:val="false"/>
          <w:smallCaps w:val="false"/>
          <w:color w:val="0000FF"/>
          <w:sz w:val="20"/>
          <w:u w:val="single"/>
        </w:rPr>
        <w:t>with respect to a Letter of Credit denominated in Dollars, the Borrowers</w:t>
      </w:r>
      <w:r>
        <w:rPr>
          <w:rFonts w:ascii="Times New Roman;Times;Serif" w:hAnsi="Times New Roman;Times;Serif"/>
          <w:b w:val="false"/>
          <w:i w:val="false"/>
          <w:caps w:val="false"/>
          <w:smallCaps w:val="false"/>
          <w:sz w:val="20"/>
        </w:rPr>
        <w:t xml:space="preserve"> shall be deemed to have requested a CB Floating Rate Advance </w:t>
      </w:r>
      <w:r>
        <w:rPr>
          <w:rFonts w:ascii="Times New Roman;Times;Serif" w:hAnsi="Times New Roman;Times;Serif"/>
          <w:b w:val="false"/>
          <w:i w:val="false"/>
          <w:caps w:val="false"/>
          <w:smallCaps w:val="false"/>
          <w:color w:val="0000FF"/>
          <w:sz w:val="20"/>
          <w:u w:val="single"/>
        </w:rPr>
        <w:t xml:space="preserve">denominated in Dollars </w:t>
      </w:r>
      <w:r>
        <w:rPr>
          <w:rFonts w:ascii="Times New Roman;Times;Serif" w:hAnsi="Times New Roman;Times;Serif"/>
          <w:b w:val="false"/>
          <w:i w:val="false"/>
          <w:caps w:val="false"/>
          <w:smallCaps w:val="false"/>
          <w:sz w:val="20"/>
        </w:rPr>
        <w:t xml:space="preserve">to be disbursed on the Honor Date in an amount equal to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drawing under the Letter of Credit (the “</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xml:space="preserve">”), without regard to the minimum amounts specified elsewhere herein for the principal amount of CB Floating Rate Advances, but subject to the amount of the unutilized portion of the Aggregate Commitments and the conditions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If the Borrowers fail to so reimburse the L/C Issuer by such time with respect to a Letter of Credit denominated in an Alternative Currency, the Borrowers shall be deemed to have incurred an L/C Borrowing in the applicable Alternative Currency in the amount of such drawing, and the Alternative Currency Lenders shall fund their participations therein as provided in this Section 2.19(c). </w:t>
      </w:r>
      <w:r>
        <w:rPr>
          <w:rFonts w:ascii="Times New Roman;Times;Serif" w:hAnsi="Times New Roman;Times;Serif"/>
          <w:b w:val="false"/>
          <w:i w:val="false"/>
          <w:caps w:val="false"/>
          <w:smallCaps w:val="false"/>
          <w:sz w:val="20"/>
        </w:rPr>
        <w:t xml:space="preserve">Any notice given by the L/C Issuer pursuant to this </w:t>
      </w:r>
      <w:r>
        <w:rPr>
          <w:rFonts w:ascii="Times New Roman;Times;Serif" w:hAnsi="Times New Roman;Times;Serif"/>
          <w:b w:val="false"/>
          <w:i w:val="false"/>
          <w:caps w:val="false"/>
          <w:smallCaps w:val="false"/>
          <w:sz w:val="20"/>
          <w:u w:val="single"/>
        </w:rPr>
        <w:t>Section 2.19(c)(i)</w:t>
      </w:r>
      <w:r>
        <w:rPr>
          <w:rFonts w:ascii="Times New Roman;Times;Serif" w:hAnsi="Times New Roman;Times;Serif"/>
          <w:b w:val="false"/>
          <w:i w:val="false"/>
          <w:caps w:val="false"/>
          <w:smallCaps w:val="false"/>
          <w:sz w:val="20"/>
        </w:rPr>
        <w:t xml:space="preserve"> may be given by telephone if immediately confirmed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lack of such an immediate confirmation shall not affect the conclusiveness or binding effect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Lender (including the L/C Issuer) shall upon any notice pursuant to </w:t>
      </w:r>
      <w:r>
        <w:rPr>
          <w:rFonts w:ascii="Times New Roman;Times;Serif" w:hAnsi="Times New Roman;Times;Serif"/>
          <w:b w:val="false"/>
          <w:i w:val="false"/>
          <w:caps w:val="false"/>
          <w:smallCaps w:val="false"/>
          <w:sz w:val="20"/>
          <w:u w:val="single"/>
        </w:rPr>
        <w:t>Section 2.19(c)(i)</w:t>
      </w:r>
      <w:r>
        <w:rPr>
          <w:rFonts w:ascii="Times New Roman;Times;Serif" w:hAnsi="Times New Roman;Times;Serif"/>
          <w:b w:val="false"/>
          <w:i w:val="false"/>
          <w:caps w:val="false"/>
          <w:smallCaps w:val="false"/>
          <w:sz w:val="20"/>
        </w:rPr>
        <w:t xml:space="preserve"> with regard to a CB Floating Rate Advance make funds available to the Agent for the account of the L/C Issuer at the Agent’s Office in an amount equal to its Pro Rata Share of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 xml:space="preserve">Unreimbursed Amount not later than 1:00 p.m., Fort Worth, Texas time, on the Business Day specified in such notice by the Agent, whereupon, subject to the provisions of </w:t>
      </w:r>
      <w:r>
        <w:rPr>
          <w:rFonts w:ascii="Times New Roman;Times;Serif" w:hAnsi="Times New Roman;Times;Serif"/>
          <w:b w:val="false"/>
          <w:i w:val="false"/>
          <w:caps w:val="false"/>
          <w:smallCaps w:val="false"/>
          <w:sz w:val="20"/>
          <w:u w:val="single"/>
        </w:rPr>
        <w:t>Section 2.19(c)(iii)</w:t>
      </w:r>
      <w:r>
        <w:rPr>
          <w:rFonts w:ascii="Times New Roman;Times;Serif" w:hAnsi="Times New Roman;Times;Serif"/>
          <w:b w:val="false"/>
          <w:i w:val="false"/>
          <w:caps w:val="false"/>
          <w:smallCaps w:val="false"/>
          <w:sz w:val="20"/>
        </w:rPr>
        <w:t xml:space="preserve">, each Lender that so makes funds available shall be deemed to have made a CB Floating Rate Advance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such amount</w:t>
      </w:r>
      <w:r>
        <w:rPr>
          <w:rFonts w:ascii="Times New Roman;Times;Serif" w:hAnsi="Times New Roman;Times;Serif"/>
          <w:b w:val="false"/>
          <w:i w:val="false"/>
          <w:caps w:val="false"/>
          <w:smallCaps w:val="false"/>
          <w:color w:val="0000FF"/>
          <w:sz w:val="20"/>
          <w:u w:val="single"/>
        </w:rPr>
        <w:t>. Each Alternative Currency Lender shall upon any notice pursuant to Section 2.19(c)(i) with regard to an L/C Borrowing denominated in an Alternative Currency make funds available to the Agent for the account of the L/C Issuer in the applicable Alternative Currency (or, if required by the L/C Issuer or the Agent, in Dollars in the Dollar Equivalent thereof) in an amount equal to its Alternative Currency Pro Rata Share of such L/C Borrowing not later than the time specified in such notice by the Agent</w:t>
      </w:r>
      <w:r>
        <w:rPr>
          <w:rFonts w:ascii="Times New Roman;Times;Serif" w:hAnsi="Times New Roman;Times;Serif"/>
          <w:b w:val="false"/>
          <w:i w:val="false"/>
          <w:caps w:val="false"/>
          <w:smallCaps w:val="false"/>
          <w:sz w:val="20"/>
        </w:rPr>
        <w:t>. The Agent shall remit the funds so received to the L/C Issuer (if different from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 respect to any Unreimbursed Amount that is not fully refinanced by a CB Floating Rate Advance </w:t>
      </w:r>
      <w:r>
        <w:rPr>
          <w:rFonts w:ascii="Times New Roman;Times;Serif" w:hAnsi="Times New Roman;Times;Serif"/>
          <w:b w:val="false"/>
          <w:i w:val="false"/>
          <w:caps w:val="false"/>
          <w:smallCaps w:val="false"/>
          <w:color w:val="0000FF"/>
          <w:sz w:val="20"/>
          <w:u w:val="single"/>
        </w:rPr>
        <w:t xml:space="preserve">or, in the case of a Letter of Credit denominated in an Alternative Currency, funded by the Alternative Currency Lenders as an L/C Advance, </w:t>
      </w:r>
      <w:r>
        <w:rPr>
          <w:rFonts w:ascii="Times New Roman;Times;Serif" w:hAnsi="Times New Roman;Times;Serif"/>
          <w:b w:val="false"/>
          <w:i w:val="false"/>
          <w:caps w:val="false"/>
          <w:smallCaps w:val="false"/>
          <w:sz w:val="20"/>
        </w:rPr>
        <w:t xml:space="preserve">because the conditions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(other than delivery of a Borrowing Notice) cannot be satisfied or for any other reason,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be deemed to have incurred from the L/C Issuer an L/C Borrowing in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 xml:space="preserve">amount of the Unreimbursed Amount that is not so refinanced </w:t>
      </w:r>
      <w:r>
        <w:rPr>
          <w:rFonts w:ascii="Times New Roman;Times;Serif" w:hAnsi="Times New Roman;Times;Serif"/>
          <w:b w:val="false"/>
          <w:i w:val="false"/>
          <w:caps w:val="false"/>
          <w:smallCaps w:val="false"/>
          <w:color w:val="0000FF"/>
          <w:sz w:val="20"/>
          <w:u w:val="single"/>
        </w:rPr>
        <w:t>or funded</w:t>
      </w:r>
      <w:r>
        <w:rPr>
          <w:rFonts w:ascii="Times New Roman;Times;Serif" w:hAnsi="Times New Roman;Times;Serif"/>
          <w:b w:val="false"/>
          <w:i w:val="false"/>
          <w:caps w:val="false"/>
          <w:smallCaps w:val="false"/>
          <w:sz w:val="20"/>
        </w:rPr>
        <w:t xml:space="preserve">, which L/C Borrowing shall be due and payable upon the L/C Issuer’s demand (together with interest) and shall bear interest at the Default Rate. In such event, each Lender’s </w:t>
      </w:r>
      <w:r>
        <w:rPr>
          <w:rFonts w:ascii="Times New Roman;Times;Serif" w:hAnsi="Times New Roman;Times;Serif"/>
          <w:b w:val="false"/>
          <w:i w:val="false"/>
          <w:caps w:val="false"/>
          <w:smallCaps w:val="false"/>
          <w:color w:val="0000FF"/>
          <w:sz w:val="20"/>
          <w:u w:val="single"/>
        </w:rPr>
        <w:t xml:space="preserve">or Alternative Currency Lender’s, as applicable, </w:t>
      </w:r>
      <w:r>
        <w:rPr>
          <w:rFonts w:ascii="Times New Roman;Times;Serif" w:hAnsi="Times New Roman;Times;Serif"/>
          <w:b w:val="false"/>
          <w:i w:val="false"/>
          <w:caps w:val="false"/>
          <w:smallCaps w:val="false"/>
          <w:sz w:val="20"/>
        </w:rPr>
        <w:t xml:space="preserve">payment to the Agent for the account of the L/C Issuer pursuant to </w:t>
      </w:r>
      <w:r>
        <w:rPr>
          <w:rFonts w:ascii="Times New Roman;Times;Serif" w:hAnsi="Times New Roman;Times;Serif"/>
          <w:b w:val="false"/>
          <w:i w:val="false"/>
          <w:caps w:val="false"/>
          <w:smallCaps w:val="false"/>
          <w:sz w:val="20"/>
          <w:u w:val="single"/>
        </w:rPr>
        <w:t>Section 2.19(c)(ii)</w:t>
      </w:r>
      <w:r>
        <w:rPr>
          <w:rFonts w:ascii="Times New Roman;Times;Serif" w:hAnsi="Times New Roman;Times;Serif"/>
          <w:b w:val="false"/>
          <w:i w:val="false"/>
          <w:caps w:val="false"/>
          <w:smallCaps w:val="false"/>
          <w:sz w:val="20"/>
        </w:rPr>
        <w:t xml:space="preserve"> shall be deemed payment in respect of its participation in such L/C Borrowing and shall constitute an L/C Advance from such Lender </w:t>
      </w:r>
      <w:r>
        <w:rPr>
          <w:rFonts w:ascii="Times New Roman;Times;Serif" w:hAnsi="Times New Roman;Times;Serif"/>
          <w:b w:val="false"/>
          <w:i w:val="false"/>
          <w:caps w:val="false"/>
          <w:smallCaps w:val="false"/>
          <w:color w:val="0000FF"/>
          <w:sz w:val="20"/>
          <w:u w:val="single"/>
        </w:rPr>
        <w:t xml:space="preserve">or Alternative Currency Lender </w:t>
      </w:r>
      <w:r>
        <w:rPr>
          <w:rFonts w:ascii="Times New Roman;Times;Serif" w:hAnsi="Times New Roman;Times;Serif"/>
          <w:b w:val="false"/>
          <w:i w:val="false"/>
          <w:caps w:val="false"/>
          <w:smallCaps w:val="false"/>
          <w:sz w:val="20"/>
        </w:rPr>
        <w:t xml:space="preserve">in satisfaction of its participation obligation under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The Borrowers shall, upon demand from the L/C Issuer or any affected Lender, pay to the L/C Issuer or such Lender the amount of any currency exchange loss or reasonable cost sustained by the L/C Issuer or such Lender as a result of the reimbursement in Dollars of any Letter of Credit denominated in an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Until each Lender funds its CB Floating Rate Advance or L/C Advance</w:t>
      </w:r>
      <w:r>
        <w:rPr>
          <w:rFonts w:ascii="Times New Roman;Times;Serif" w:hAnsi="Times New Roman;Times;Serif"/>
          <w:b w:val="false"/>
          <w:i w:val="false"/>
          <w:caps w:val="false"/>
          <w:smallCaps w:val="false"/>
          <w:color w:val="0000FF"/>
          <w:sz w:val="20"/>
          <w:u w:val="single"/>
        </w:rPr>
        <w:t>, or each Alternative Currency Lender funds its L/C Advance in respect of a Letter of Credit denominated in an Alternative Currency,</w:t>
      </w:r>
      <w:r>
        <w:rPr>
          <w:rFonts w:ascii="Times New Roman;Times;Serif" w:hAnsi="Times New Roman;Times;Serif"/>
          <w:b w:val="false"/>
          <w:i w:val="false"/>
          <w:caps w:val="false"/>
          <w:smallCaps w:val="false"/>
          <w:sz w:val="20"/>
        </w:rPr>
        <w:t xml:space="preserve"> pursuant to this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 xml:space="preserve"> to reimburse the L/C Issuer for any amount drawn under any Letter of Credit, accrued interest in respect of such Lender’s Pro Rata Share </w:t>
      </w:r>
      <w:r>
        <w:rPr>
          <w:rFonts w:ascii="Times New Roman;Times;Serif" w:hAnsi="Times New Roman;Times;Serif"/>
          <w:b w:val="false"/>
          <w:i w:val="false"/>
          <w:caps w:val="false"/>
          <w:smallCaps w:val="false"/>
          <w:color w:val="0000FF"/>
          <w:sz w:val="20"/>
          <w:u w:val="single"/>
        </w:rPr>
        <w:t xml:space="preserve">or such Alternative Currency Lender’s Alternative Currency Pro Rata Share, as applicable, </w:t>
      </w:r>
      <w:r>
        <w:rPr>
          <w:rFonts w:ascii="Times New Roman;Times;Serif" w:hAnsi="Times New Roman;Times;Serif"/>
          <w:b w:val="false"/>
          <w:i w:val="false"/>
          <w:caps w:val="false"/>
          <w:smallCaps w:val="false"/>
          <w:sz w:val="20"/>
        </w:rPr>
        <w:t>of such amount shall be solely for the account of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Lender’s obligation to make CB Floating Rate Advances or L/C Advances</w:t>
      </w:r>
      <w:r>
        <w:rPr>
          <w:rFonts w:ascii="Times New Roman;Times;Serif" w:hAnsi="Times New Roman;Times;Serif"/>
          <w:b w:val="false"/>
          <w:i w:val="false"/>
          <w:caps w:val="false"/>
          <w:smallCaps w:val="false"/>
          <w:color w:val="0000FF"/>
          <w:sz w:val="20"/>
          <w:u w:val="single"/>
        </w:rPr>
        <w:t>, and each Alternative Currency Lender’s obligation to make L/C Advances in respect of Letters of Credit denominated in Alternative Currencies,</w:t>
      </w:r>
      <w:r>
        <w:rPr>
          <w:rFonts w:ascii="Times New Roman;Times;Serif" w:hAnsi="Times New Roman;Times;Serif"/>
          <w:b w:val="false"/>
          <w:i w:val="false"/>
          <w:caps w:val="false"/>
          <w:smallCaps w:val="false"/>
          <w:sz w:val="20"/>
        </w:rPr>
        <w:t xml:space="preserve"> to reimburse the L/C Issuer for amounts drawn under Letters of Credit, as contemplated by this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 xml:space="preserve">, shall be absolute and unconditional and shall not be affected by any circumstance, including (A) any set-off, counterclaim, recoupment, defense or other right which such Lender </w:t>
      </w:r>
      <w:r>
        <w:rPr>
          <w:rFonts w:ascii="Times New Roman;Times;Serif" w:hAnsi="Times New Roman;Times;Serif"/>
          <w:b w:val="false"/>
          <w:i w:val="false"/>
          <w:caps w:val="false"/>
          <w:smallCaps w:val="false"/>
          <w:color w:val="0000FF"/>
          <w:sz w:val="20"/>
          <w:u w:val="single"/>
        </w:rPr>
        <w:t xml:space="preserve">or Alternative Currency Lender </w:t>
      </w:r>
      <w:r>
        <w:rPr>
          <w:rFonts w:ascii="Times New Roman;Times;Serif" w:hAnsi="Times New Roman;Times;Serif"/>
          <w:b w:val="false"/>
          <w:i w:val="false"/>
          <w:caps w:val="false"/>
          <w:smallCaps w:val="false"/>
          <w:sz w:val="20"/>
        </w:rPr>
        <w:t xml:space="preserve">may have against the L/C Issuer,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Person for any reason whatsoever; (B) the occurrence or continuance of a Default, or (C) any other occurrence, event or condition, whether or not similar to any of the foregoing. Any such reimbursement shall not relieve or otherwise impair the obligation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reimburse the L/C Issuer for the amount of any payment made by the L/C Issuer under any Letter of Credit, together with interest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any Lender </w:t>
      </w:r>
      <w:r>
        <w:rPr>
          <w:rFonts w:ascii="Times New Roman;Times;Serif" w:hAnsi="Times New Roman;Times;Serif"/>
          <w:b w:val="false"/>
          <w:i w:val="false"/>
          <w:caps w:val="false"/>
          <w:smallCaps w:val="false"/>
          <w:color w:val="0000FF"/>
          <w:sz w:val="20"/>
          <w:u w:val="single"/>
        </w:rPr>
        <w:t xml:space="preserve">or Alternative Currency Lender </w:t>
      </w:r>
      <w:r>
        <w:rPr>
          <w:rFonts w:ascii="Times New Roman;Times;Serif" w:hAnsi="Times New Roman;Times;Serif"/>
          <w:b w:val="false"/>
          <w:i w:val="false"/>
          <w:caps w:val="false"/>
          <w:smallCaps w:val="false"/>
          <w:sz w:val="20"/>
        </w:rPr>
        <w:t xml:space="preserve">fails to make available to the Agent for the account of the L/C Issuer any amount required to be paid by such Lender </w:t>
      </w:r>
      <w:r>
        <w:rPr>
          <w:rFonts w:ascii="Times New Roman;Times;Serif" w:hAnsi="Times New Roman;Times;Serif"/>
          <w:b w:val="false"/>
          <w:i w:val="false"/>
          <w:caps w:val="false"/>
          <w:smallCaps w:val="false"/>
          <w:color w:val="0000FF"/>
          <w:sz w:val="20"/>
          <w:u w:val="single"/>
        </w:rPr>
        <w:t xml:space="preserve">or Alternative Currency Lender </w:t>
      </w:r>
      <w:r>
        <w:rPr>
          <w:rFonts w:ascii="Times New Roman;Times;Serif" w:hAnsi="Times New Roman;Times;Serif"/>
          <w:b w:val="false"/>
          <w:i w:val="false"/>
          <w:caps w:val="false"/>
          <w:smallCaps w:val="false"/>
          <w:sz w:val="20"/>
        </w:rPr>
        <w:t xml:space="preserve">pursuant to the foregoing provisions of this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 xml:space="preserve"> by the time specified in </w:t>
      </w:r>
      <w:r>
        <w:rPr>
          <w:rFonts w:ascii="Times New Roman;Times;Serif" w:hAnsi="Times New Roman;Times;Serif"/>
          <w:b w:val="false"/>
          <w:i w:val="false"/>
          <w:caps w:val="false"/>
          <w:smallCaps w:val="false"/>
          <w:sz w:val="20"/>
          <w:u w:val="single"/>
        </w:rPr>
        <w:t>Section 2.19(c)(ii)</w:t>
      </w:r>
      <w:r>
        <w:rPr>
          <w:rFonts w:ascii="Times New Roman;Times;Serif" w:hAnsi="Times New Roman;Times;Serif"/>
          <w:b w:val="false"/>
          <w:i w:val="false"/>
          <w:caps w:val="false"/>
          <w:smallCaps w:val="false"/>
          <w:sz w:val="20"/>
        </w:rPr>
        <w:t xml:space="preserve">, the L/C Issuer shall be entitled to recover from such Lender </w:t>
      </w:r>
      <w:r>
        <w:rPr>
          <w:rFonts w:ascii="Times New Roman;Times;Serif" w:hAnsi="Times New Roman;Times;Serif"/>
          <w:b w:val="false"/>
          <w:i w:val="false"/>
          <w:caps w:val="false"/>
          <w:smallCaps w:val="false"/>
          <w:color w:val="0000FF"/>
          <w:sz w:val="20"/>
          <w:u w:val="single"/>
        </w:rPr>
        <w:t>or Alternative Currency Lender</w:t>
      </w:r>
      <w:r>
        <w:rPr>
          <w:rFonts w:ascii="Times New Roman;Times;Serif" w:hAnsi="Times New Roman;Times;Serif"/>
          <w:b w:val="false"/>
          <w:i w:val="false"/>
          <w:caps w:val="false"/>
          <w:smallCaps w:val="false"/>
          <w:sz w:val="20"/>
        </w:rPr>
        <w:t xml:space="preserve">, on demand, such amount with interest thereon for the period from the date such payment is required to the date on which such payment is immediately available to the L/C Issuer at a rate per annum equal to the Federal Funds Effective Rate from time to time in effect. A certificate of the L/C Issuer submitted to any Lender </w:t>
      </w:r>
      <w:r>
        <w:rPr>
          <w:rFonts w:ascii="Times New Roman;Times;Serif" w:hAnsi="Times New Roman;Times;Serif"/>
          <w:b w:val="false"/>
          <w:i w:val="false"/>
          <w:caps w:val="false"/>
          <w:smallCaps w:val="false"/>
          <w:color w:val="0000FF"/>
          <w:sz w:val="20"/>
          <w:u w:val="single"/>
        </w:rPr>
        <w:t xml:space="preserve">or Alternative Currency Lender </w:t>
      </w:r>
      <w:r>
        <w:rPr>
          <w:rFonts w:ascii="Times New Roman;Times;Serif" w:hAnsi="Times New Roman;Times;Serif"/>
          <w:b w:val="false"/>
          <w:i w:val="false"/>
          <w:caps w:val="false"/>
          <w:smallCaps w:val="false"/>
          <w:sz w:val="20"/>
        </w:rPr>
        <w:t xml:space="preserve">(through the Agent) with respect to any amounts owing under this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Repayment of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after the L/C Issuer has made a payment under any Letter of Credit and has received from any Lender </w:t>
      </w:r>
      <w:r>
        <w:rPr>
          <w:rFonts w:ascii="Times New Roman;Times;Serif" w:hAnsi="Times New Roman;Times;Serif"/>
          <w:b w:val="false"/>
          <w:i w:val="false"/>
          <w:caps w:val="false"/>
          <w:smallCaps w:val="false"/>
          <w:strike/>
          <w:color w:val="FF0000"/>
          <w:sz w:val="20"/>
        </w:rPr>
        <w:t>such</w:t>
      </w:r>
      <w:r>
        <w:rPr>
          <w:rFonts w:ascii="Times New Roman;Times;Serif" w:hAnsi="Times New Roman;Times;Serif"/>
          <w:b w:val="false"/>
          <w:i w:val="false"/>
          <w:caps w:val="false"/>
          <w:smallCaps w:val="false"/>
          <w:color w:val="0000FF"/>
          <w:sz w:val="20"/>
          <w:u w:val="single"/>
        </w:rPr>
        <w:t>or Alternative Currency Lender such Lender’s or Alternative Currency</w:t>
      </w:r>
      <w:r>
        <w:rPr>
          <w:rFonts w:ascii="Times New Roman;Times;Serif" w:hAnsi="Times New Roman;Times;Serif"/>
          <w:b w:val="false"/>
          <w:i w:val="false"/>
          <w:caps w:val="false"/>
          <w:smallCaps w:val="false"/>
          <w:sz w:val="20"/>
        </w:rPr>
        <w:t xml:space="preserve"> Lender’s L/C Advance in respect of such payment in accordance with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 xml:space="preserve">, if the Agent receives for the account of the L/C Issuer any payment related to such Letter of Credit (whether directly from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otherwise), or any payment of interest thereon, the Agent will distribute to such Lender its Pro Rata Share thereof </w:t>
      </w:r>
      <w:r>
        <w:rPr>
          <w:rFonts w:ascii="Times New Roman;Times;Serif" w:hAnsi="Times New Roman;Times;Serif"/>
          <w:b w:val="false"/>
          <w:i w:val="false"/>
          <w:caps w:val="false"/>
          <w:smallCaps w:val="false"/>
          <w:color w:val="0000FF"/>
          <w:sz w:val="20"/>
          <w:u w:val="single"/>
        </w:rPr>
        <w:t xml:space="preserve">or to such Alternative Currency Lender its Alternative Currency Pro Rata Share thereof, as applicable, </w:t>
      </w:r>
      <w:r>
        <w:rPr>
          <w:rFonts w:ascii="Times New Roman;Times;Serif" w:hAnsi="Times New Roman;Times;Serif"/>
          <w:b w:val="false"/>
          <w:i w:val="false"/>
          <w:caps w:val="false"/>
          <w:smallCaps w:val="false"/>
          <w:sz w:val="20"/>
        </w:rPr>
        <w:t>in the same funds as those received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payment received by the Agent for the account of the L/C Issuer pursuant to </w:t>
      </w:r>
      <w:r>
        <w:rPr>
          <w:rFonts w:ascii="Times New Roman;Times;Serif" w:hAnsi="Times New Roman;Times;Serif"/>
          <w:b w:val="false"/>
          <w:i w:val="false"/>
          <w:caps w:val="false"/>
          <w:smallCaps w:val="false"/>
          <w:sz w:val="20"/>
          <w:u w:val="single"/>
        </w:rPr>
        <w:t>Section 2.19(c)(i)</w:t>
      </w:r>
      <w:r>
        <w:rPr>
          <w:rFonts w:ascii="Times New Roman;Times;Serif" w:hAnsi="Times New Roman;Times;Serif"/>
          <w:b w:val="false"/>
          <w:i w:val="false"/>
          <w:caps w:val="false"/>
          <w:smallCaps w:val="false"/>
          <w:sz w:val="20"/>
        </w:rPr>
        <w:t> is required to be returned, each Lender shall pay to the Agent for the account of the L/C Issuer its Pro Rata Share thereof</w:t>
      </w:r>
      <w:r>
        <w:rPr>
          <w:rFonts w:ascii="Times New Roman;Times;Serif" w:hAnsi="Times New Roman;Times;Serif"/>
          <w:b w:val="false"/>
          <w:i w:val="false"/>
          <w:caps w:val="false"/>
          <w:smallCaps w:val="false"/>
          <w:color w:val="0000FF"/>
          <w:sz w:val="20"/>
          <w:u w:val="single"/>
        </w:rPr>
        <w:t>, or each Alternative Currency Lender shall pay its Alternative Currency Pro Rata Share thereof with respect to any Letter of Credit denominated in an Alternative Currency,</w:t>
      </w:r>
      <w:r>
        <w:rPr>
          <w:rFonts w:ascii="Times New Roman;Times;Serif" w:hAnsi="Times New Roman;Times;Serif"/>
          <w:b w:val="false"/>
          <w:i w:val="false"/>
          <w:caps w:val="false"/>
          <w:smallCaps w:val="false"/>
          <w:sz w:val="20"/>
        </w:rPr>
        <w:t xml:space="preserve"> on demand of the Agent,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interest thereon from the date of such demand to the date such amount is returned by such Lender </w:t>
      </w:r>
      <w:r>
        <w:rPr>
          <w:rFonts w:ascii="Times New Roman;Times;Serif" w:hAnsi="Times New Roman;Times;Serif"/>
          <w:b w:val="false"/>
          <w:i w:val="false"/>
          <w:caps w:val="false"/>
          <w:smallCaps w:val="false"/>
          <w:color w:val="0000FF"/>
          <w:sz w:val="20"/>
          <w:u w:val="single"/>
        </w:rPr>
        <w:t>or Alternative Currency Lender</w:t>
      </w:r>
      <w:r>
        <w:rPr>
          <w:rFonts w:ascii="Times New Roman;Times;Serif" w:hAnsi="Times New Roman;Times;Serif"/>
          <w:b w:val="false"/>
          <w:i w:val="false"/>
          <w:caps w:val="false"/>
          <w:smallCaps w:val="false"/>
          <w:sz w:val="20"/>
        </w:rPr>
        <w:t>, at a rate per annum equal to the Federal Funds Effective Rate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Subject to Section 2.26, the</w:t>
      </w:r>
      <w:r>
        <w:rPr>
          <w:rFonts w:ascii="Times New Roman;Times;Serif" w:hAnsi="Times New Roman;Times;Serif"/>
          <w:b w:val="false"/>
          <w:i w:val="false"/>
          <w:caps w:val="false"/>
          <w:smallCaps w:val="false"/>
          <w:sz w:val="20"/>
        </w:rPr>
        <w:t xml:space="preserve"> obligation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reimburse the L/C Issuer for each drawing under each Letter of Credit, and to repay each L/C Borrowing and each drawing under a Letter of Credit that is refinanced by a CB Floating Rate Advance, shall be absolute, unconditional and irrevocable, and shall be paid strictly in accordance with the terms of this Agreement under all circumstances, including the following, subject, however, to the obligations of the L/C Issuer under </w:t>
      </w:r>
      <w:r>
        <w:rPr>
          <w:rFonts w:ascii="Times New Roman;Times;Serif" w:hAnsi="Times New Roman;Times;Serif"/>
          <w:b w:val="false"/>
          <w:i w:val="false"/>
          <w:caps w:val="false"/>
          <w:smallCaps w:val="false"/>
          <w:sz w:val="20"/>
          <w:u w:val="single"/>
        </w:rPr>
        <w:t>Section 2.19(f)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such Letter of Credit, this Agreement, or any other agreement or instrument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existence of any claim, counterclaim, set-off, defense or other right that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           any adverse change in the relevant exchange rates or in the availability of the relevant Alternative Currency to any Borrower or any Subsidiary or in the relevant currency markets generally;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          </w:t>
      </w:r>
      <w:r>
        <w:rPr>
          <w:rFonts w:ascii="Times New Roman;Times;Serif" w:hAnsi="Times New Roman;Times;Serif"/>
          <w:b w:val="false"/>
          <w:i w:val="false"/>
          <w:caps w:val="false"/>
          <w:smallCaps w:val="false"/>
          <w:strike/>
          <w:color w:val="FF0000"/>
          <w:sz w:val="20"/>
        </w:rPr>
        <w:t>(v) </w:t>
      </w:r>
      <w:r>
        <w:rPr>
          <w:rFonts w:ascii="Times New Roman;Times;Serif" w:hAnsi="Times New Roman;Times;Serif"/>
          <w:b w:val="false"/>
          <w:i w:val="false"/>
          <w:caps w:val="false"/>
          <w:smallCaps w:val="false"/>
          <w:sz w:val="20"/>
        </w:rPr>
        <w:t xml:space="preserve">any other circumstance or happening whatsoever, whether or not similar to </w:t>
      </w:r>
      <w:r>
        <w:rPr>
          <w:rFonts w:ascii="Times New Roman;Times;Serif" w:hAnsi="Times New Roman;Times;Serif"/>
          <w:b w:val="false"/>
          <w:i w:val="false"/>
          <w:caps w:val="false"/>
          <w:smallCaps w:val="false"/>
          <w:strike/>
          <w:color w:val="FF0000"/>
          <w:sz w:val="20"/>
        </w:rPr>
        <w:t xml:space="preserve">any of </w:t>
      </w:r>
      <w:r>
        <w:rPr>
          <w:rFonts w:ascii="Times New Roman;Times;Serif" w:hAnsi="Times New Roman;Times;Serif"/>
          <w:b w:val="false"/>
          <w:i w:val="false"/>
          <w:caps w:val="false"/>
          <w:smallCaps w:val="false"/>
          <w:sz w:val="20"/>
        </w:rPr>
        <w:t xml:space="preserve">the foregoing, including any other circumstance that might otherwise constitute a defense available to, or a discharge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 xml:space="preserve">Borrower shall promptly examine a copy of each Letter of Credit and each amendment thereto that is delivered to it and, in the event of any claim of noncompliance with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instructions or other irregularity,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Borrower will promptly notify the L/C Issuer.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Borrower shall be conclusively deemed to have waived any such claim against the L/C Issuer and its correspondents unless such notice is given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Role of the L/C Issuer</w:t>
      </w:r>
      <w:r>
        <w:rPr>
          <w:rFonts w:ascii="Times New Roman;Times;Serif" w:hAnsi="Times New Roman;Times;Serif"/>
          <w:b w:val="false"/>
          <w:i w:val="false"/>
          <w:caps w:val="false"/>
          <w:smallCaps w:val="false"/>
          <w:sz w:val="20"/>
        </w:rPr>
        <w:t xml:space="preserve">. Each Lender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Agent-Related Person nor any of the respective correspondents, participants or assignees of the L/C Issuer shall be liable to any Lender for (i) any action taken or omitted in connection herewith at the request or with the approval of the Lenders; (ii) any action taken or omitted in the absence of gross negligence or willful misconduct; or (iii) the due execution, effectiveness, validity or enforceability of any document or instrument related to any Letter of Credit or Letter of Credit Application.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hereby assumes all risks of the acts or omissions of any beneficiary or transferee with respect to its use of any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assumption is not intended to, and shall not, preclude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pursuing such rights and remedies as it may have against the beneficiary or transferee at law or under any other agreement. No Agent-Related Person, nor any of the respective correspondents, participants or assignees of the L/C Issuer, shall be liable or responsible for any of the matters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2.19(e)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anything in such clauses to the contrary notwithstanding,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may have a claim against the L/C Issuer, and the L/C Issuer may be liable to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to the extent, but only to the extent, of any direct, as opposed to consequential or exemplary, damages suffered by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Borrower which a court of competent jurisdiction determines in a final and non-appealable judgment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pay to the Agent for the account of each Lender in accordance with its Pro Rata Share</w:t>
      </w:r>
      <w:r>
        <w:rPr>
          <w:rFonts w:ascii="Times New Roman;Times;Serif" w:hAnsi="Times New Roman;Times;Serif"/>
          <w:b w:val="false"/>
          <w:i w:val="false"/>
          <w:caps w:val="false"/>
          <w:smallCaps w:val="false"/>
          <w:color w:val="0000FF"/>
          <w:sz w:val="20"/>
          <w:u w:val="single"/>
        </w:rPr>
        <w:t>, or, with respect to any Letter of Credit denominated in an Alternative Currency, for the account of each Alternative Currency Lender in accordance with its Alternative Currency Pro Rata Share,</w:t>
      </w:r>
      <w:r>
        <w:rPr>
          <w:rFonts w:ascii="Times New Roman;Times;Serif" w:hAnsi="Times New Roman;Times;Serif"/>
          <w:b w:val="false"/>
          <w:i w:val="false"/>
          <w:caps w:val="false"/>
          <w:smallCaps w:val="false"/>
          <w:sz w:val="20"/>
        </w:rPr>
        <w:t xml:space="preserve"> a Letter of Credit fee for each Letter of Credit equal to the Applicable Margin then in effect with respect to SOFR Advances (on the basis of 365 or 366 day year, as applicable)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actual daily maximum amount available to be drawn under each such Letter of Credit (</w:t>
      </w:r>
      <w:r>
        <w:rPr>
          <w:rFonts w:ascii="Times New Roman;Times;Serif" w:hAnsi="Times New Roman;Times;Serif"/>
          <w:b w:val="false"/>
          <w:i w:val="false"/>
          <w:caps w:val="false"/>
          <w:smallCaps w:val="false"/>
          <w:color w:val="0000FF"/>
          <w:sz w:val="20"/>
          <w:u w:val="single"/>
        </w:rPr>
        <w:t>or, in the case of a Letter of Credit denominated in an Alternative Currency, the Dollar Equivalent thereof)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Such fee for each Letter of Credit shall be due and payable quarterly in arrears on each Payment Date, commencing with the first such date to occur after the issuance of such Letter of Credit. If there is any change in the Applicable Margin with respect to SOFR Advances during any fiscal quarter, the actual daily amount of each Letter of Credit shall be computed and multiplied by the Applicable Margin in effect with respect to SOFR Advances separately for each period during such quarter that such Applicable Margin was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Fees and Documentary and Processing Charges Payable to L/C Issuer</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pay directly to the L/C Issuer for its own account individual customary issuance, presentation, amendment and other processing fees, and other standard costs and charges, of the L/C Issuer relating to Letters of Credit as from time to time in effect</w:t>
      </w:r>
      <w:r>
        <w:rPr>
          <w:rFonts w:ascii="Times New Roman;Times;Serif" w:hAnsi="Times New Roman;Times;Serif"/>
          <w:b w:val="false"/>
          <w:i w:val="false"/>
          <w:caps w:val="false"/>
          <w:smallCaps w:val="false"/>
          <w:color w:val="0000FF"/>
          <w:sz w:val="20"/>
          <w:u w:val="single"/>
        </w:rPr>
        <w:t>, including reasonable and customary charges relating to the issuance, amendment, transfer, administration, cancellation, conversion of, and drawings under, Letters of Credit denominated in Alternative Currencies</w:t>
      </w:r>
      <w:r>
        <w:rPr>
          <w:rFonts w:ascii="Times New Roman;Times;Serif" w:hAnsi="Times New Roman;Times;Serif"/>
          <w:b w:val="false"/>
          <w:i w:val="false"/>
          <w:caps w:val="false"/>
          <w:smallCaps w:val="false"/>
          <w:sz w:val="20"/>
        </w:rPr>
        <w:t xml:space="preserve">. The amount of such fees shall be negotiated and established from time to time between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and the L/C Issuer. Such fees and charges are due and payable on demand, are nonrefundable, and are not shared with the other Lenders. In addition to the Letter of Credit Fees payable pursuant to </w:t>
      </w:r>
      <w:r>
        <w:rPr>
          <w:rFonts w:ascii="Times New Roman;Times;Serif" w:hAnsi="Times New Roman;Times;Serif"/>
          <w:b w:val="false"/>
          <w:i w:val="false"/>
          <w:caps w:val="false"/>
          <w:smallCaps w:val="false"/>
          <w:color w:val="0000FF"/>
          <w:sz w:val="20"/>
          <w:u w:val="single"/>
        </w:rPr>
        <w:t>Section </w:t>
      </w:r>
      <w:r>
        <w:rPr>
          <w:rFonts w:ascii="Times New Roman;Times;Serif" w:hAnsi="Times New Roman;Times;Serif"/>
          <w:b w:val="false"/>
          <w:i w:val="false"/>
          <w:caps w:val="false"/>
          <w:smallCaps w:val="false"/>
          <w:sz w:val="20"/>
          <w:u w:val="single"/>
        </w:rPr>
        <w:t>2.19(g)</w:t>
      </w:r>
      <w:r>
        <w:rPr>
          <w:rFonts w:ascii="Times New Roman;Times;Serif" w:hAnsi="Times New Roman;Times;Serif"/>
          <w:b w:val="false"/>
          <w:i w:val="false"/>
          <w:caps w:val="false"/>
          <w:smallCaps w:val="false"/>
          <w:sz w:val="20"/>
        </w:rPr>
        <w:t xml:space="preserve"> hereof,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pay to the L/C Issuer for its own account without sharing by the other Lenders the reasonable and customary charges from time to time of the L/C Issuer with respect to the amendment, transfer, administration, cancellation and conversion of, and drawings under, such Letters of Credit (collectively, the “</w:t>
      </w:r>
      <w:r>
        <w:rPr>
          <w:rFonts w:ascii="Times New Roman;Times;Serif" w:hAnsi="Times New Roman;Times;Serif"/>
          <w:b w:val="false"/>
          <w:i w:val="false"/>
          <w:caps w:val="false"/>
          <w:smallCaps w:val="false"/>
          <w:sz w:val="20"/>
          <w:u w:val="single"/>
        </w:rPr>
        <w:t>L/C Issuer Fees</w:t>
      </w:r>
      <w:r>
        <w:rPr>
          <w:rFonts w:ascii="Times New Roman;Times;Serif" w:hAnsi="Times New Roman;Times;Serif"/>
          <w:b w:val="false"/>
          <w:i w:val="false"/>
          <w:caps w:val="false"/>
          <w:smallCaps w:val="false"/>
          <w:sz w:val="20"/>
        </w:rPr>
        <w:t>”). The L/C Issuer may charge, and retain for its own account without sharing by the other Lenders, an additional facing fee (the “</w:t>
      </w:r>
      <w:r>
        <w:rPr>
          <w:rFonts w:ascii="Times New Roman;Times;Serif" w:hAnsi="Times New Roman;Times;Serif"/>
          <w:b w:val="false"/>
          <w:i w:val="false"/>
          <w:caps w:val="false"/>
          <w:smallCaps w:val="false"/>
          <w:sz w:val="20"/>
          <w:u w:val="single"/>
        </w:rPr>
        <w:t>Letter of Credit Facing Fee</w:t>
      </w:r>
      <w:r>
        <w:rPr>
          <w:rFonts w:ascii="Times New Roman;Times;Serif" w:hAnsi="Times New Roman;Times;Serif"/>
          <w:b w:val="false"/>
          <w:i w:val="false"/>
          <w:caps w:val="false"/>
          <w:smallCaps w:val="false"/>
          <w:sz w:val="20"/>
        </w:rPr>
        <w:t>”) of 0.25% per annum on the average daily maximum amount available to be drawn under each such Letter of Credit issued by it. The L/C Issuer Fees and the Letter of Credit Facing Fee shall be payable quarterly in arrears on each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Conflict with Letter of Credit Application</w:t>
      </w:r>
      <w:r>
        <w:rPr>
          <w:rFonts w:ascii="Times New Roman;Times;Serif" w:hAnsi="Times New Roman;Times;Serif"/>
          <w:b w:val="false"/>
          <w:i w:val="false"/>
          <w:caps w:val="false"/>
          <w:smallCaps w:val="false"/>
          <w:sz w:val="20"/>
        </w:rPr>
        <w:t>. In the event of any conflict between the terms hereof and the terms of any Letter of Credit Application, the terms hereof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Letters of Credit Not Paid On Or Before Facility Termination Date</w:t>
      </w:r>
      <w:r>
        <w:rPr>
          <w:rFonts w:ascii="Times New Roman;Times;Serif" w:hAnsi="Times New Roman;Times;Serif"/>
          <w:b w:val="false"/>
          <w:i w:val="false"/>
          <w:caps w:val="false"/>
          <w:smallCaps w:val="false"/>
          <w:sz w:val="20"/>
        </w:rPr>
        <w:t>. If any Letter of Credit is not paid or terminated on or prior to the Facility Termination Date, such L/C Obligation shall be Cash Collateralized, secured by a letter of credit issued by an institution acceptable to the L/C Issuer or otherwise backstopped (including by “grandfathering” into future credit agreements) in a manner acceptable to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Modification, Extension</w:t>
      </w:r>
      <w:r>
        <w:rPr>
          <w:rFonts w:ascii="Times New Roman;Times;Serif" w:hAnsi="Times New Roman;Times;Serif"/>
          <w:b w:val="false"/>
          <w:i w:val="false"/>
          <w:caps w:val="false"/>
          <w:smallCaps w:val="false"/>
          <w:sz w:val="20"/>
        </w:rPr>
        <w:t>. The issuance of any supplement, modification, amendment, renewal, or extension that has the effect of increasing the face amount of any Letter of Credit shall, for purposes hereof, be treated in all respects the same as the issuance of a new Letter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ISP98 and UCP</w:t>
      </w:r>
      <w:r>
        <w:rPr>
          <w:rFonts w:ascii="Times New Roman;Times;Serif" w:hAnsi="Times New Roman;Times;Serif"/>
          <w:b w:val="false"/>
          <w:i w:val="false"/>
          <w:caps w:val="false"/>
          <w:smallCaps w:val="false"/>
          <w:sz w:val="20"/>
        </w:rPr>
        <w:t xml:space="preserve">. Unless otherwise expressly agreed by the L/C Issuer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when a Letter of Credit is issued, (i) the rules of the “International Standby Practices 1998,” published by the Institute of International Banking Law &amp; Practice (or such later version thereof as may be in effect at the time of issuance) shall apply to each standby Letter of Credit, and (ii) the rules of The Uniform Customs and Practice for Documentary Credits, as most recently published by the International Chamber of Commerce at the time of issuance, shall apply to each documentary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Designation of a Different Lending Office</w:t>
      </w:r>
      <w:r>
        <w:rPr>
          <w:rFonts w:ascii="Times New Roman;Times;Serif" w:hAnsi="Times New Roman;Times;Serif"/>
          <w:b w:val="false"/>
          <w:i w:val="false"/>
          <w:caps w:val="false"/>
          <w:smallCaps w:val="false"/>
          <w:sz w:val="20"/>
        </w:rPr>
        <w:t xml:space="preserve">. If any Lender (i) requests compensation under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(ii) requires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or (iii) is unable to make or maintain SOFR Advances </w:t>
      </w:r>
      <w:r>
        <w:rPr>
          <w:rFonts w:ascii="Times New Roman;Times;Serif" w:hAnsi="Times New Roman;Times;Serif"/>
          <w:b w:val="false"/>
          <w:i w:val="false"/>
          <w:caps w:val="false"/>
          <w:smallCaps w:val="false"/>
          <w:color w:val="0000FF"/>
          <w:sz w:val="20"/>
          <w:u w:val="single"/>
        </w:rPr>
        <w:t xml:space="preserve">(or, in the case of any Alternative Currency Lender, Alternative Currency Loans) </w:t>
      </w:r>
      <w:r>
        <w:rPr>
          <w:rFonts w:ascii="Times New Roman;Times;Serif" w:hAnsi="Times New Roman;Times;Serif"/>
          <w:b w:val="false"/>
          <w:i w:val="false"/>
          <w:caps w:val="false"/>
          <w:smallCaps w:val="false"/>
          <w:sz w:val="20"/>
        </w:rPr>
        <w:t xml:space="preserve">due to any circumstance described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then such Lender shall (at the request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amounts payable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as the case may be, in the future </w:t>
      </w:r>
      <w:r>
        <w:rPr>
          <w:rFonts w:ascii="Times New Roman;Times;Serif" w:hAnsi="Times New Roman;Times;Serif"/>
          <w:b w:val="false"/>
          <w:i w:val="false"/>
          <w:caps w:val="false"/>
          <w:smallCaps w:val="false"/>
          <w:color w:val="0000FF"/>
          <w:sz w:val="20"/>
          <w:u w:val="single"/>
        </w:rPr>
        <w:t xml:space="preserve">or permit such Lender to make or maintain the affected Loans </w:t>
      </w:r>
      <w:r>
        <w:rPr>
          <w:rFonts w:ascii="Times New Roman;Times;Serif" w:hAnsi="Times New Roman;Times;Serif"/>
          <w:b w:val="false"/>
          <w:i w:val="false"/>
          <w:caps w:val="false"/>
          <w:smallCaps w:val="false"/>
          <w:sz w:val="20"/>
        </w:rPr>
        <w:t xml:space="preserve">and (b) would not subject such Lender to any unreimbursed cost or expense and would not otherwise be disadvantageous to such Lender.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Replacement of Lenders</w:t>
      </w:r>
      <w:r>
        <w:rPr>
          <w:rFonts w:ascii="Times New Roman;Times;Serif" w:hAnsi="Times New Roman;Times;Serif"/>
          <w:b w:val="false"/>
          <w:i w:val="false"/>
          <w:caps w:val="false"/>
          <w:smallCaps w:val="false"/>
          <w:sz w:val="20"/>
        </w:rPr>
        <w:t xml:space="preserve">. Notwithstanding anything contained in this Agreement to the contrary, (i) if any Lender requests compensation under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(ii)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is required to pay any Indemnified Taxes or additional amounts to any Lender or any Governmental Authority for the account of any such Lender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 in each case of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2.20(a)</w:t>
      </w:r>
      <w:r>
        <w:rPr>
          <w:rFonts w:ascii="Times New Roman;Times;Serif" w:hAnsi="Times New Roman;Times;Serif"/>
          <w:b w:val="false"/>
          <w:i w:val="false"/>
          <w:caps w:val="false"/>
          <w:smallCaps w:val="false"/>
          <w:sz w:val="20"/>
        </w:rPr>
        <w:t>, (iii) any Lender is unable to make or maintain SOFR Advances</w:t>
      </w:r>
      <w:r>
        <w:rPr>
          <w:rFonts w:ascii="Times New Roman;Times;Serif" w:hAnsi="Times New Roman;Times;Serif"/>
          <w:b w:val="false"/>
          <w:i w:val="false"/>
          <w:caps w:val="false"/>
          <w:smallCaps w:val="false"/>
          <w:color w:val="0000FF"/>
          <w:sz w:val="20"/>
          <w:u w:val="single"/>
        </w:rPr>
        <w:t>, or any Alternative Currency Lender is unable to make or maintain Alternative Currency Loans,</w:t>
      </w:r>
      <w:r>
        <w:rPr>
          <w:rFonts w:ascii="Times New Roman;Times;Serif" w:hAnsi="Times New Roman;Times;Serif"/>
          <w:b w:val="false"/>
          <w:i w:val="false"/>
          <w:caps w:val="false"/>
          <w:smallCaps w:val="false"/>
          <w:sz w:val="20"/>
        </w:rPr>
        <w:t xml:space="preserve"> due to any of the circumstances described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(iv) any Lender is a Defaulting Lender or (v) any Lender fails to consent to any proposed amendment, modification, termination, waiver or consent with respect to any provision hereof or of any other Loan Document that requires the consent of each Lender directly and adversely </w:t>
      </w:r>
      <w:r>
        <w:rPr>
          <w:rFonts w:ascii="Times New Roman;Times;Serif" w:hAnsi="Times New Roman;Times;Serif"/>
          <w:b w:val="false"/>
          <w:i w:val="false"/>
          <w:caps w:val="false"/>
          <w:smallCaps w:val="false"/>
          <w:strike/>
          <w:color w:val="FF0000"/>
          <w:sz w:val="20"/>
        </w:rPr>
        <w:t>effected</w:t>
      </w:r>
      <w:r>
        <w:rPr>
          <w:rFonts w:ascii="Times New Roman;Times;Serif" w:hAnsi="Times New Roman;Times;Serif"/>
          <w:b w:val="false"/>
          <w:i w:val="false"/>
          <w:caps w:val="false"/>
          <w:smallCaps w:val="false"/>
          <w:color w:val="0000FF"/>
          <w:sz w:val="20"/>
          <w:u w:val="single"/>
        </w:rPr>
        <w:t>affected</w:t>
      </w:r>
      <w:r>
        <w:rPr>
          <w:rFonts w:ascii="Times New Roman;Times;Serif" w:hAnsi="Times New Roman;Times;Serif"/>
          <w:b w:val="false"/>
          <w:i w:val="false"/>
          <w:caps w:val="false"/>
          <w:smallCaps w:val="false"/>
          <w:sz w:val="20"/>
        </w:rPr>
        <w:t xml:space="preserve"> thereby or all Lenders in accordance with the terms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so long as the consent of the Required Lenders </w:t>
      </w:r>
      <w:r>
        <w:rPr>
          <w:rFonts w:ascii="Times New Roman;Times;Serif" w:hAnsi="Times New Roman;Times;Serif"/>
          <w:b w:val="false"/>
          <w:i w:val="false"/>
          <w:caps w:val="false"/>
          <w:smallCaps w:val="false"/>
          <w:color w:val="0000FF"/>
          <w:sz w:val="20"/>
          <w:u w:val="single"/>
        </w:rPr>
        <w:t xml:space="preserve">or, for matters affecting only the Alternative Currency Lenders, the Required Alternative Currency Lenders </w:t>
      </w:r>
      <w:r>
        <w:rPr>
          <w:rFonts w:ascii="Times New Roman;Times;Serif" w:hAnsi="Times New Roman;Times;Serif"/>
          <w:b w:val="false"/>
          <w:i w:val="false"/>
          <w:caps w:val="false"/>
          <w:smallCaps w:val="false"/>
          <w:sz w:val="20"/>
        </w:rPr>
        <w:t xml:space="preserve">shall have been obtained with respect thereto, then, in each case,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at </w:t>
      </w:r>
      <w:r>
        <w:rPr>
          <w:rFonts w:ascii="Times New Roman;Times;Serif" w:hAnsi="Times New Roman;Times;Serif"/>
          <w:b w:val="false"/>
          <w:i w:val="false"/>
          <w:caps w:val="false"/>
          <w:smallCaps w:val="false"/>
          <w:strike/>
          <w:color w:val="FF0000"/>
          <w:sz w:val="20"/>
        </w:rPr>
        <w:t>its</w:t>
      </w:r>
      <w:r>
        <w:rPr>
          <w:rFonts w:ascii="Times New Roman;Times;Serif" w:hAnsi="Times New Roman;Times;Serif"/>
          <w:b w:val="false"/>
          <w:i w:val="false"/>
          <w:caps w:val="false"/>
          <w:smallCaps w:val="false"/>
          <w:color w:val="0000FF"/>
          <w:sz w:val="20"/>
          <w:u w:val="single"/>
        </w:rPr>
        <w:t>their</w:t>
      </w:r>
      <w:r>
        <w:rPr>
          <w:rFonts w:ascii="Times New Roman;Times;Serif" w:hAnsi="Times New Roman;Times;Serif"/>
          <w:b w:val="false"/>
          <w:i w:val="false"/>
          <w:caps w:val="false"/>
          <w:smallCaps w:val="false"/>
          <w:sz w:val="20"/>
        </w:rPr>
        <w:t xml:space="preserve"> sole expense and effort, upon notice to such Lender and the Agent, require such Lender to assign and delegate, without recourse (in accordance with and subject to the restrictions contained in, and consents required by,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all of its interests, rights (other than its existing rights to payments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and obligations under this Agreement and the related Loan Documents</w:t>
      </w:r>
      <w:r>
        <w:rPr>
          <w:rFonts w:ascii="Times New Roman;Times;Serif" w:hAnsi="Times New Roman;Times;Serif"/>
          <w:b w:val="false"/>
          <w:i w:val="false"/>
          <w:caps w:val="false"/>
          <w:smallCaps w:val="false"/>
          <w:color w:val="0000FF"/>
          <w:sz w:val="20"/>
          <w:u w:val="single"/>
        </w:rPr>
        <w:t>, or solely its Alternative Currency Commitment and Alternative Currency Exposure if the replacement event affects only its rights or obligations as an Alternative Currency Lender,</w:t>
      </w:r>
      <w:r>
        <w:rPr>
          <w:rFonts w:ascii="Times New Roman;Times;Serif" w:hAnsi="Times New Roman;Times;Serif"/>
          <w:b w:val="false"/>
          <w:i w:val="false"/>
          <w:caps w:val="false"/>
          <w:smallCaps w:val="false"/>
          <w:sz w:val="20"/>
        </w:rPr>
        <w:t xml:space="preserve"> to an assignee permitted by </w:t>
      </w:r>
      <w:r>
        <w:rPr>
          <w:rFonts w:ascii="Times New Roman;Times;Serif" w:hAnsi="Times New Roman;Times;Serif"/>
          <w:b w:val="false"/>
          <w:i w:val="false"/>
          <w:caps w:val="false"/>
          <w:smallCaps w:val="false"/>
          <w:sz w:val="20"/>
          <w:u w:val="single"/>
        </w:rPr>
        <w:t xml:space="preserve">Article XII </w:t>
      </w:r>
      <w:r>
        <w:rPr>
          <w:rFonts w:ascii="Times New Roman;Times;Serif" w:hAnsi="Times New Roman;Times;Serif"/>
          <w:b w:val="false"/>
          <w:i w:val="false"/>
          <w:caps w:val="false"/>
          <w:smallCaps w:val="false"/>
          <w:sz w:val="20"/>
        </w:rPr>
        <w:t xml:space="preserve">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have paid to the Agent the assignment fee (if any) specified in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Lender shall have received payment of an amount equal to the outstanding principal of its Loans and participations in Letters of Credit, </w:t>
      </w:r>
      <w:r>
        <w:rPr>
          <w:rFonts w:ascii="Times New Roman;Times;Serif" w:hAnsi="Times New Roman;Times;Serif"/>
          <w:b w:val="false"/>
          <w:i w:val="false"/>
          <w:caps w:val="false"/>
          <w:smallCaps w:val="false"/>
          <w:color w:val="0000FF"/>
          <w:sz w:val="20"/>
          <w:u w:val="single"/>
        </w:rPr>
        <w:t xml:space="preserve">including any Alternative Currency Loans and participations in Letters of Credit denominated in Alternative Currencies, </w:t>
      </w:r>
      <w:r>
        <w:rPr>
          <w:rFonts w:ascii="Times New Roman;Times;Serif" w:hAnsi="Times New Roman;Times;Serif"/>
          <w:b w:val="false"/>
          <w:i w:val="false"/>
          <w:caps w:val="false"/>
          <w:smallCaps w:val="false"/>
          <w:sz w:val="20"/>
        </w:rPr>
        <w:t xml:space="preserve">accrued interest thereon, accrued fees and all other amounts payable to it hereunder and under the other Loan Documents (including any amounts under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from the assignee (to the extent of such outstanding principal and accrued interest and fees) 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the case of all other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any such assignment resulting from a claim for compensation under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such assignment will result in a reduction in such compensation or payments thereafter;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assignment does not conflict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Lender shall not be required to make any such assignment or delegation if, prior thereto, as a result of a waiver by such Lender or otherwise, the circumstances entitling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To the extent required by </w:t>
      </w:r>
      <w:r>
        <w:rPr>
          <w:rFonts w:ascii="Times New Roman;Times;Serif" w:hAnsi="Times New Roman;Times;Serif"/>
          <w:b w:val="false"/>
          <w:i w:val="false"/>
          <w:caps w:val="false"/>
          <w:smallCaps w:val="false"/>
          <w:sz w:val="20"/>
          <w:u w:val="single"/>
        </w:rPr>
        <w:t>Section 2.22(a)(v)</w:t>
      </w:r>
      <w:r>
        <w:rPr>
          <w:rFonts w:ascii="Times New Roman;Times;Serif" w:hAnsi="Times New Roman;Times;Serif"/>
          <w:b w:val="false"/>
          <w:i w:val="false"/>
          <w:caps w:val="false"/>
          <w:smallCaps w:val="false"/>
          <w:sz w:val="20"/>
        </w:rPr>
        <w:t xml:space="preserve">, at any time that there shall exist a Defaulting Lender, within one (1) Business Day following the written request of the Agent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L/C Issuer (with a copy to the Agent)</w:t>
      </w:r>
      <w:r>
        <w:rPr>
          <w:rFonts w:ascii="Times New Roman;Times;Serif" w:hAnsi="Times New Roman;Times;Serif"/>
          <w:b w:val="false"/>
          <w:i w:val="false"/>
          <w:caps w:val="false"/>
          <w:smallCaps w:val="false"/>
          <w:strike/>
          <w:color w:val="FF0000"/>
          <w:sz w:val="20"/>
        </w:rPr>
        <w:t xml:space="preserve">, the Borrower </w:t>
      </w:r>
      <w:r>
        <w:rPr>
          <w:rFonts w:ascii="Times New Roman;Times;Serif" w:hAnsi="Times New Roman;Times;Serif"/>
          <w:b w:val="false"/>
          <w:i w:val="false"/>
          <w:caps w:val="false"/>
          <w:smallCaps w:val="false"/>
          <w:color w:val="0000FF"/>
          <w:sz w:val="20"/>
          <w:u w:val="single"/>
        </w:rPr>
        <w:t>or the Swingline Lender (with a copy to the Agent), the Borrowers</w:t>
      </w:r>
      <w:r>
        <w:rPr>
          <w:rFonts w:ascii="Times New Roman;Times;Serif" w:hAnsi="Times New Roman;Times;Serif"/>
          <w:b w:val="false"/>
          <w:i w:val="false"/>
          <w:caps w:val="false"/>
          <w:smallCaps w:val="false"/>
          <w:sz w:val="20"/>
        </w:rPr>
        <w:t xml:space="preserve"> shall Cash Collateralize all Fronting Exposure of the L/C Issuer </w:t>
      </w:r>
      <w:r>
        <w:rPr>
          <w:rFonts w:ascii="Times New Roman;Times;Serif" w:hAnsi="Times New Roman;Times;Serif"/>
          <w:b w:val="false"/>
          <w:i w:val="false"/>
          <w:caps w:val="false"/>
          <w:smallCaps w:val="false"/>
          <w:color w:val="0000FF"/>
          <w:sz w:val="20"/>
          <w:u w:val="single"/>
        </w:rPr>
        <w:t xml:space="preserve">and/or the Swingline Lender, as applicable, </w:t>
      </w:r>
      <w:r>
        <w:rPr>
          <w:rFonts w:ascii="Times New Roman;Times;Serif" w:hAnsi="Times New Roman;Times;Serif"/>
          <w:b w:val="false"/>
          <w:i w:val="false"/>
          <w:caps w:val="false"/>
          <w:smallCaps w:val="false"/>
          <w:sz w:val="20"/>
        </w:rPr>
        <w:t xml:space="preserve">with respect to such Defaulting Lender (determined after giving effect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color w:val="0000FF"/>
          <w:sz w:val="20"/>
          <w:u w:val="single"/>
        </w:rPr>
        <w:t>a)(iv</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and any Cash Collateral provided by the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and to the extent provided by any Defaulting Lender, such Defaulting Lender, hereby grants to the Agent, for the benefit of the Agent,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the Lenders, and agrees to maintain, a first priority security interest in all such Cash Collateral as security for the Defaulting Lenders’ obligations to which such Cash Collateral may be applied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below. If at any time the Agent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L/C Issuer </w:t>
      </w:r>
      <w:r>
        <w:rPr>
          <w:rFonts w:ascii="Times New Roman;Times;Serif" w:hAnsi="Times New Roman;Times;Serif"/>
          <w:b w:val="false"/>
          <w:i w:val="false"/>
          <w:caps w:val="false"/>
          <w:smallCaps w:val="false"/>
          <w:color w:val="0000FF"/>
          <w:sz w:val="20"/>
          <w:u w:val="single"/>
        </w:rPr>
        <w:t xml:space="preserve">or Swingline Lender </w:t>
      </w:r>
      <w:r>
        <w:rPr>
          <w:rFonts w:ascii="Times New Roman;Times;Serif" w:hAnsi="Times New Roman;Times;Serif"/>
          <w:b w:val="false"/>
          <w:i w:val="false"/>
          <w:caps w:val="false"/>
          <w:smallCaps w:val="false"/>
          <w:sz w:val="20"/>
        </w:rPr>
        <w:t xml:space="preserve">determines that Cash Collateral is subject to any right or claim of any Person other than the Agent as herein provided, or that the total amount of such Cash Collateral is less than the applicable Fronting Exposure,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promptly upon demand by the Agent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L/C Issuer </w:t>
      </w:r>
      <w:r>
        <w:rPr>
          <w:rFonts w:ascii="Times New Roman;Times;Serif" w:hAnsi="Times New Roman;Times;Serif"/>
          <w:b w:val="false"/>
          <w:i w:val="false"/>
          <w:caps w:val="false"/>
          <w:smallCaps w:val="false"/>
          <w:color w:val="0000FF"/>
          <w:sz w:val="20"/>
          <w:u w:val="single"/>
        </w:rPr>
        <w:t xml:space="preserve">or Swingline Lender, </w:t>
      </w:r>
      <w:r>
        <w:rPr>
          <w:rFonts w:ascii="Times New Roman;Times;Serif" w:hAnsi="Times New Roman;Times;Serif"/>
          <w:b w:val="false"/>
          <w:i w:val="false"/>
          <w:caps w:val="false"/>
          <w:smallCaps w:val="false"/>
          <w:sz w:val="20"/>
        </w:rPr>
        <w:t>pay or provide to the Agent additional Cash Collateral in an amount sufficient to eliminate such deficiency (after giving effect to any Cash Collateral provided by the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any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in respect of Letters of Credit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or Swingline Loans</w:t>
      </w:r>
      <w:r>
        <w:rPr>
          <w:rFonts w:ascii="Times New Roman;Times;Serif" w:hAnsi="Times New Roman;Times;Serif"/>
          <w:b w:val="false"/>
          <w:i w:val="false"/>
          <w:caps w:val="false"/>
          <w:smallCaps w:val="false"/>
          <w:sz w:val="20"/>
        </w:rPr>
        <w:t xml:space="preserve"> shall be held and applied to the satisfaction of the specific L/C Obligations</w:t>
      </w:r>
      <w:r>
        <w:rPr>
          <w:rFonts w:ascii="Times New Roman;Times;Serif" w:hAnsi="Times New Roman;Times;Serif"/>
          <w:b w:val="false"/>
          <w:i w:val="false"/>
          <w:caps w:val="false"/>
          <w:smallCaps w:val="false"/>
          <w:color w:val="0000FF"/>
          <w:sz w:val="20"/>
          <w:u w:val="single"/>
        </w:rPr>
        <w:t>, Swingline Loans</w:t>
      </w:r>
      <w:r>
        <w:rPr>
          <w:rFonts w:ascii="Times New Roman;Times;Serif" w:hAnsi="Times New Roman;Times;Serif"/>
          <w:b w:val="false"/>
          <w:i w:val="false"/>
          <w:caps w:val="false"/>
          <w:smallCaps w:val="false"/>
          <w:sz w:val="20"/>
        </w:rPr>
        <w:t>,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Requirement</w:t>
      </w:r>
      <w:r>
        <w:rPr>
          <w:rFonts w:ascii="Times New Roman;Times;Serif" w:hAnsi="Times New Roman;Times;Serif"/>
          <w:b w:val="false"/>
          <w:i w:val="false"/>
          <w:caps w:val="false"/>
          <w:smallCaps w:val="false"/>
          <w:sz w:val="20"/>
        </w:rPr>
        <w:t xml:space="preserve">. Cash Collateral (or the appropriate portion thereof) provided to reduce Fronting Exposure or other obligations shall no longer be required to be held as Cash Collateral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following (i) the elimination of the applicable Fronting Exposure or other obligations giving rise thereto (including by the termination of Defaulting Lender status of the applicable Lender), or (ii) the determination by the Agent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each L/C Issuer </w:t>
      </w:r>
      <w:r>
        <w:rPr>
          <w:rFonts w:ascii="Times New Roman;Times;Serif" w:hAnsi="Times New Roman;Times;Serif"/>
          <w:b w:val="false"/>
          <w:i w:val="false"/>
          <w:caps w:val="false"/>
          <w:smallCaps w:val="false"/>
          <w:color w:val="0000FF"/>
          <w:sz w:val="20"/>
          <w:u w:val="single"/>
        </w:rPr>
        <w:t xml:space="preserve">and the Swingline Lender </w:t>
      </w:r>
      <w:r>
        <w:rPr>
          <w:rFonts w:ascii="Times New Roman;Times;Serif" w:hAnsi="Times New Roman;Times;Serif"/>
          <w:b w:val="false"/>
          <w:i w:val="false"/>
          <w:caps w:val="false"/>
          <w:smallCaps w:val="false"/>
          <w:sz w:val="20"/>
        </w:rPr>
        <w:t xml:space="preserve">that there exists excess Cash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Person providing Cash Collateral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each L/C Issuer </w:t>
      </w:r>
      <w:r>
        <w:rPr>
          <w:rFonts w:ascii="Times New Roman;Times;Serif" w:hAnsi="Times New Roman;Times;Serif"/>
          <w:b w:val="false"/>
          <w:i w:val="false"/>
          <w:caps w:val="false"/>
          <w:smallCaps w:val="false"/>
          <w:color w:val="0000FF"/>
          <w:sz w:val="20"/>
          <w:u w:val="single"/>
        </w:rPr>
        <w:t xml:space="preserve">and the Swingline Lender </w:t>
      </w:r>
      <w:r>
        <w:rPr>
          <w:rFonts w:ascii="Times New Roman;Times;Serif" w:hAnsi="Times New Roman;Times;Serif"/>
          <w:b w:val="false"/>
          <w:i w:val="false"/>
          <w:caps w:val="false"/>
          <w:smallCaps w:val="false"/>
          <w:sz w:val="20"/>
        </w:rPr>
        <w:t>may agree that Cash Collateral shall be held to support future anticipated Fronting Exposure or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otherwise) or received by the Agent from a Defaulting Lender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be applied at such time or times as may be determined by the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L/C Issuer </w:t>
      </w:r>
      <w:r>
        <w:rPr>
          <w:rFonts w:ascii="Times New Roman;Times;Serif" w:hAnsi="Times New Roman;Times;Serif"/>
          <w:b w:val="false"/>
          <w:i w:val="false"/>
          <w:caps w:val="false"/>
          <w:smallCaps w:val="false"/>
          <w:color w:val="0000FF"/>
          <w:sz w:val="20"/>
          <w:u w:val="single"/>
        </w:rPr>
        <w:t xml:space="preserve">or the Swingline Lender </w:t>
      </w:r>
      <w:r>
        <w:rPr>
          <w:rFonts w:ascii="Times New Roman;Times;Serif" w:hAnsi="Times New Roman;Times;Serif"/>
          <w:b w:val="false"/>
          <w:i w:val="false"/>
          <w:caps w:val="false"/>
          <w:smallCaps w:val="false"/>
          <w:sz w:val="20"/>
        </w:rPr>
        <w:t xml:space="preserve">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the L/C Issuer’s </w:t>
      </w:r>
      <w:r>
        <w:rPr>
          <w:rFonts w:ascii="Times New Roman;Times;Serif" w:hAnsi="Times New Roman;Times;Serif"/>
          <w:b w:val="false"/>
          <w:i w:val="false"/>
          <w:caps w:val="false"/>
          <w:smallCaps w:val="false"/>
          <w:color w:val="0000FF"/>
          <w:sz w:val="20"/>
          <w:u w:val="single"/>
        </w:rPr>
        <w:t xml:space="preserve">and the Swingline Lender’s </w:t>
      </w:r>
      <w:r>
        <w:rPr>
          <w:rFonts w:ascii="Times New Roman;Times;Serif" w:hAnsi="Times New Roman;Times;Serif"/>
          <w:b w:val="false"/>
          <w:i w:val="false"/>
          <w:caps w:val="false"/>
          <w:smallCaps w:val="false"/>
          <w:sz w:val="20"/>
        </w:rPr>
        <w:t xml:space="preserve">Fronting Exposure in accordance with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request (so long as no Default or Unmatured Default exists), to the funding of any Loan </w:t>
      </w:r>
      <w:r>
        <w:rPr>
          <w:rFonts w:ascii="Times New Roman;Times;Serif" w:hAnsi="Times New Roman;Times;Serif"/>
          <w:b w:val="false"/>
          <w:i w:val="false"/>
          <w:caps w:val="false"/>
          <w:smallCaps w:val="false"/>
          <w:color w:val="0000FF"/>
          <w:sz w:val="20"/>
          <w:u w:val="single"/>
        </w:rPr>
        <w:t xml:space="preserve">or funded participation </w:t>
      </w:r>
      <w:r>
        <w:rPr>
          <w:rFonts w:ascii="Times New Roman;Times;Serif" w:hAnsi="Times New Roman;Times;Serif"/>
          <w:b w:val="false"/>
          <w:i w:val="false"/>
          <w:caps w:val="false"/>
          <w:smallCaps w:val="false"/>
          <w:sz w:val="20"/>
        </w:rPr>
        <w:t xml:space="preserve">in respect of which such Defaulting Lender has failed to fund its portion thereof as required by this Agreement, </w:t>
      </w:r>
      <w:r>
        <w:rPr>
          <w:rFonts w:ascii="Times New Roman;Times;Serif" w:hAnsi="Times New Roman;Times;Serif"/>
          <w:b w:val="false"/>
          <w:i w:val="false"/>
          <w:caps w:val="false"/>
          <w:smallCaps w:val="false"/>
          <w:color w:val="0000FF"/>
          <w:sz w:val="20"/>
          <w:u w:val="single"/>
        </w:rPr>
        <w:t xml:space="preserve">including any Alternative Currency Loan if such Defaulting Lender is an Alternative Currency Lender, </w:t>
      </w:r>
      <w:r>
        <w:rPr>
          <w:rFonts w:ascii="Times New Roman;Times;Serif" w:hAnsi="Times New Roman;Times;Serif"/>
          <w:b w:val="false"/>
          <w:i w:val="false"/>
          <w:caps w:val="false"/>
          <w:smallCaps w:val="false"/>
          <w:sz w:val="20"/>
        </w:rPr>
        <w:t xml:space="preserve">as determined by the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be held in a non-interest bearing deposit account and released pro rata in order to (x) satisfy such Defaulting Lender’s potential future funding obligations with respect to Loans </w:t>
      </w:r>
      <w:r>
        <w:rPr>
          <w:rFonts w:ascii="Times New Roman;Times;Serif" w:hAnsi="Times New Roman;Times;Serif"/>
          <w:b w:val="false"/>
          <w:i w:val="false"/>
          <w:caps w:val="false"/>
          <w:smallCaps w:val="false"/>
          <w:color w:val="0000FF"/>
          <w:sz w:val="20"/>
          <w:u w:val="single"/>
        </w:rPr>
        <w:t xml:space="preserve">and funded participations </w:t>
      </w:r>
      <w:r>
        <w:rPr>
          <w:rFonts w:ascii="Times New Roman;Times;Serif" w:hAnsi="Times New Roman;Times;Serif"/>
          <w:b w:val="false"/>
          <w:i w:val="false"/>
          <w:caps w:val="false"/>
          <w:smallCaps w:val="false"/>
          <w:sz w:val="20"/>
        </w:rPr>
        <w:t>under this Agreement</w:t>
      </w:r>
      <w:r>
        <w:rPr>
          <w:rFonts w:ascii="Times New Roman;Times;Serif" w:hAnsi="Times New Roman;Times;Serif"/>
          <w:b w:val="false"/>
          <w:i w:val="false"/>
          <w:caps w:val="false"/>
          <w:smallCaps w:val="false"/>
          <w:color w:val="0000FF"/>
          <w:sz w:val="20"/>
          <w:u w:val="single"/>
        </w:rPr>
        <w:t>, including Alternative Currency Loans if applicable,</w:t>
      </w:r>
      <w:r>
        <w:rPr>
          <w:rFonts w:ascii="Times New Roman;Times;Serif" w:hAnsi="Times New Roman;Times;Serif"/>
          <w:b w:val="false"/>
          <w:i w:val="false"/>
          <w:caps w:val="false"/>
          <w:smallCaps w:val="false"/>
          <w:sz w:val="20"/>
        </w:rPr>
        <w:t xml:space="preserve"> and (y) Cash Collateralize the L/C Issuer’s </w:t>
      </w:r>
      <w:r>
        <w:rPr>
          <w:rFonts w:ascii="Times New Roman;Times;Serif" w:hAnsi="Times New Roman;Times;Serif"/>
          <w:b w:val="false"/>
          <w:i w:val="false"/>
          <w:caps w:val="false"/>
          <w:smallCaps w:val="false"/>
          <w:color w:val="0000FF"/>
          <w:sz w:val="20"/>
          <w:u w:val="single"/>
        </w:rPr>
        <w:t xml:space="preserve">and the Swingline Lender’s </w:t>
      </w:r>
      <w:r>
        <w:rPr>
          <w:rFonts w:ascii="Times New Roman;Times;Serif" w:hAnsi="Times New Roman;Times;Serif"/>
          <w:b w:val="false"/>
          <w:i w:val="false"/>
          <w:caps w:val="false"/>
          <w:smallCaps w:val="false"/>
          <w:sz w:val="20"/>
        </w:rPr>
        <w:t xml:space="preserve">future Fronting Exposure with respect to such Defaulting Lender with respect to future Letters of Credit issued </w:t>
      </w:r>
      <w:r>
        <w:rPr>
          <w:rFonts w:ascii="Times New Roman;Times;Serif" w:hAnsi="Times New Roman;Times;Serif"/>
          <w:b w:val="false"/>
          <w:i w:val="false"/>
          <w:caps w:val="false"/>
          <w:smallCaps w:val="false"/>
          <w:color w:val="0000FF"/>
          <w:sz w:val="20"/>
          <w:u w:val="single"/>
        </w:rPr>
        <w:t xml:space="preserve">or Swingline Loans made </w:t>
      </w:r>
      <w:r>
        <w:rPr>
          <w:rFonts w:ascii="Times New Roman;Times;Serif" w:hAnsi="Times New Roman;Times;Serif"/>
          <w:b w:val="false"/>
          <w:i w:val="false"/>
          <w:caps w:val="false"/>
          <w:smallCaps w:val="false"/>
          <w:sz w:val="20"/>
        </w:rPr>
        <w:t xml:space="preserve">under this Agreement in accordance with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L/C Issuer </w:t>
      </w:r>
      <w:r>
        <w:rPr>
          <w:rFonts w:ascii="Times New Roman;Times;Serif" w:hAnsi="Times New Roman;Times;Serif"/>
          <w:b w:val="false"/>
          <w:i w:val="false"/>
          <w:caps w:val="false"/>
          <w:smallCaps w:val="false"/>
          <w:color w:val="0000FF"/>
          <w:sz w:val="20"/>
          <w:u w:val="single"/>
        </w:rPr>
        <w:t xml:space="preserve">or the Swingline Lender </w:t>
      </w:r>
      <w:r>
        <w:rPr>
          <w:rFonts w:ascii="Times New Roman;Times;Serif" w:hAnsi="Times New Roman;Times;Serif"/>
          <w:b w:val="false"/>
          <w:i w:val="false"/>
          <w:caps w:val="false"/>
          <w:smallCaps w:val="false"/>
          <w:sz w:val="20"/>
        </w:rPr>
        <w:t xml:space="preserve">as a result of any judgment of a court of competent jurisdiction obtained by any Lender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L/C Issuer </w:t>
      </w:r>
      <w:r>
        <w:rPr>
          <w:rFonts w:ascii="Times New Roman;Times;Serif" w:hAnsi="Times New Roman;Times;Serif"/>
          <w:b w:val="false"/>
          <w:i w:val="false"/>
          <w:caps w:val="false"/>
          <w:smallCaps w:val="false"/>
          <w:color w:val="0000FF"/>
          <w:sz w:val="20"/>
          <w:u w:val="single"/>
        </w:rPr>
        <w:t xml:space="preserve">or the Swingline Lender </w:t>
      </w:r>
      <w:r>
        <w:rPr>
          <w:rFonts w:ascii="Times New Roman;Times;Serif" w:hAnsi="Times New Roman;Times;Serif"/>
          <w:b w:val="false"/>
          <w:i w:val="false"/>
          <w:caps w:val="false"/>
          <w:smallCaps w:val="false"/>
          <w:sz w:val="20"/>
        </w:rPr>
        <w:t xml:space="preserve">against such Defaulting Lender as a result of such Defaulting Lender’s breach of its obligations under this Agreement;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so long as no Default or Unmatured Default exists, to the payment of any amounts owing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as a result of any judgment of a court of competent jurisdiction obtained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against such Defaulting Lender as a result of such Defaulting Lender’s breach of its obligations under this Agreement; and </w:t>
      </w: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such payment is a payment of the principal amount of any Loans or </w:t>
      </w:r>
      <w:r>
        <w:rPr>
          <w:rFonts w:ascii="Times New Roman;Times;Serif" w:hAnsi="Times New Roman;Times;Serif"/>
          <w:b w:val="false"/>
          <w:i w:val="false"/>
          <w:caps w:val="false"/>
          <w:smallCaps w:val="false"/>
          <w:color w:val="0000FF"/>
          <w:sz w:val="20"/>
          <w:u w:val="single"/>
        </w:rPr>
        <w:t xml:space="preserve">funded participations in </w:t>
      </w:r>
      <w:r>
        <w:rPr>
          <w:rFonts w:ascii="Times New Roman;Times;Serif" w:hAnsi="Times New Roman;Times;Serif"/>
          <w:b w:val="false"/>
          <w:i w:val="false"/>
          <w:caps w:val="false"/>
          <w:smallCaps w:val="false"/>
          <w:sz w:val="20"/>
        </w:rPr>
        <w:t xml:space="preserve">L/C Obligations </w:t>
      </w:r>
      <w:r>
        <w:rPr>
          <w:rFonts w:ascii="Times New Roman;Times;Serif" w:hAnsi="Times New Roman;Times;Serif"/>
          <w:b w:val="false"/>
          <w:i w:val="false"/>
          <w:caps w:val="false"/>
          <w:smallCaps w:val="false"/>
          <w:color w:val="0000FF"/>
          <w:sz w:val="20"/>
          <w:u w:val="single"/>
        </w:rPr>
        <w:t xml:space="preserve">or Swingline Loans </w:t>
      </w:r>
      <w:r>
        <w:rPr>
          <w:rFonts w:ascii="Times New Roman;Times;Serif" w:hAnsi="Times New Roman;Times;Serif"/>
          <w:b w:val="false"/>
          <w:i w:val="false"/>
          <w:caps w:val="false"/>
          <w:smallCaps w:val="false"/>
          <w:sz w:val="20"/>
        </w:rPr>
        <w:t xml:space="preserve">in respect of which such Defaulting Lender has not fully funded its appropriate share and (B) such Loans were made or the related Letters of Credit </w:t>
      </w:r>
      <w:r>
        <w:rPr>
          <w:rFonts w:ascii="Times New Roman;Times;Serif" w:hAnsi="Times New Roman;Times;Serif"/>
          <w:b w:val="false"/>
          <w:i w:val="false"/>
          <w:caps w:val="false"/>
          <w:smallCaps w:val="false"/>
          <w:color w:val="0000FF"/>
          <w:sz w:val="20"/>
          <w:u w:val="single"/>
        </w:rPr>
        <w:t xml:space="preserve">or Swingline Loans </w:t>
      </w:r>
      <w:r>
        <w:rPr>
          <w:rFonts w:ascii="Times New Roman;Times;Serif" w:hAnsi="Times New Roman;Times;Serif"/>
          <w:b w:val="false"/>
          <w:i w:val="false"/>
          <w:caps w:val="false"/>
          <w:smallCaps w:val="false"/>
          <w:sz w:val="20"/>
        </w:rPr>
        <w:t xml:space="preserve">were issued </w:t>
      </w:r>
      <w:r>
        <w:rPr>
          <w:rFonts w:ascii="Times New Roman;Times;Serif" w:hAnsi="Times New Roman;Times;Serif"/>
          <w:b w:val="false"/>
          <w:i w:val="false"/>
          <w:caps w:val="false"/>
          <w:smallCaps w:val="false"/>
          <w:color w:val="0000FF"/>
          <w:sz w:val="20"/>
          <w:u w:val="single"/>
        </w:rPr>
        <w:t xml:space="preserve">or made </w:t>
      </w:r>
      <w:r>
        <w:rPr>
          <w:rFonts w:ascii="Times New Roman;Times;Serif" w:hAnsi="Times New Roman;Times;Serif"/>
          <w:b w:val="false"/>
          <w:i w:val="false"/>
          <w:caps w:val="false"/>
          <w:smallCaps w:val="false"/>
          <w:sz w:val="20"/>
        </w:rPr>
        <w:t xml:space="preserve">at a time when the conditions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were satisfied or waived </w:t>
      </w:r>
      <w:r>
        <w:rPr>
          <w:rFonts w:ascii="Times New Roman;Times;Serif" w:hAnsi="Times New Roman;Times;Serif"/>
          <w:b w:val="false"/>
          <w:i w:val="false"/>
          <w:caps w:val="false"/>
          <w:smallCaps w:val="false"/>
          <w:color w:val="0000FF"/>
          <w:sz w:val="20"/>
          <w:u w:val="single"/>
        </w:rPr>
        <w:t>in accordance with the terms hereof</w:t>
      </w:r>
      <w:r>
        <w:rPr>
          <w:rFonts w:ascii="Times New Roman;Times;Serif" w:hAnsi="Times New Roman;Times;Serif"/>
          <w:b w:val="false"/>
          <w:i w:val="false"/>
          <w:caps w:val="false"/>
          <w:smallCaps w:val="false"/>
          <w:sz w:val="20"/>
        </w:rPr>
        <w:t xml:space="preserve">, such payment shall be applied solely to pay the Loans of, and </w:t>
      </w:r>
      <w:r>
        <w:rPr>
          <w:rFonts w:ascii="Times New Roman;Times;Serif" w:hAnsi="Times New Roman;Times;Serif"/>
          <w:b w:val="false"/>
          <w:i w:val="false"/>
          <w:caps w:val="false"/>
          <w:smallCaps w:val="false"/>
          <w:color w:val="0000FF"/>
          <w:sz w:val="20"/>
          <w:u w:val="single"/>
        </w:rPr>
        <w:t xml:space="preserve">funded participations in </w:t>
      </w:r>
      <w:r>
        <w:rPr>
          <w:rFonts w:ascii="Times New Roman;Times;Serif" w:hAnsi="Times New Roman;Times;Serif"/>
          <w:b w:val="false"/>
          <w:i w:val="false"/>
          <w:caps w:val="false"/>
          <w:smallCaps w:val="false"/>
          <w:sz w:val="20"/>
        </w:rPr>
        <w:t xml:space="preserve">L/C Obligations </w:t>
      </w:r>
      <w:r>
        <w:rPr>
          <w:rFonts w:ascii="Times New Roman;Times;Serif" w:hAnsi="Times New Roman;Times;Serif"/>
          <w:b w:val="false"/>
          <w:i w:val="false"/>
          <w:caps w:val="false"/>
          <w:smallCaps w:val="false"/>
          <w:color w:val="0000FF"/>
          <w:sz w:val="20"/>
          <w:u w:val="single"/>
        </w:rPr>
        <w:t xml:space="preserve">or Swingline Loans </w:t>
      </w:r>
      <w:r>
        <w:rPr>
          <w:rFonts w:ascii="Times New Roman;Times;Serif" w:hAnsi="Times New Roman;Times;Serif"/>
          <w:b w:val="false"/>
          <w:i w:val="false"/>
          <w:caps w:val="false"/>
          <w:smallCaps w:val="false"/>
          <w:sz w:val="20"/>
        </w:rPr>
        <w:t xml:space="preserve">owed to, all Non-Defaulting Lenders </w:t>
      </w:r>
      <w:r>
        <w:rPr>
          <w:rFonts w:ascii="Times New Roman;Times;Serif" w:hAnsi="Times New Roman;Times;Serif"/>
          <w:b w:val="false"/>
          <w:i w:val="false"/>
          <w:caps w:val="false"/>
          <w:smallCaps w:val="false"/>
          <w:color w:val="0000FF"/>
          <w:sz w:val="20"/>
          <w:u w:val="single"/>
        </w:rPr>
        <w:t xml:space="preserve">or, in the case of Alternative Currency Loans or L/C Obligations denominated in Alternative Currencies, all Non-Defaulting Alternative Currency Lenders, </w:t>
      </w:r>
      <w:r>
        <w:rPr>
          <w:rFonts w:ascii="Times New Roman;Times;Serif" w:hAnsi="Times New Roman;Times;Serif"/>
          <w:b w:val="false"/>
          <w:i w:val="false"/>
          <w:caps w:val="false"/>
          <w:smallCaps w:val="false"/>
          <w:sz w:val="20"/>
        </w:rPr>
        <w:t xml:space="preserve">on a pro rata basis prior to being applied to the payment of any Loans of, or </w:t>
      </w:r>
      <w:r>
        <w:rPr>
          <w:rFonts w:ascii="Times New Roman;Times;Serif" w:hAnsi="Times New Roman;Times;Serif"/>
          <w:b w:val="false"/>
          <w:i w:val="false"/>
          <w:caps w:val="false"/>
          <w:smallCaps w:val="false"/>
          <w:color w:val="0000FF"/>
          <w:sz w:val="20"/>
          <w:u w:val="single"/>
        </w:rPr>
        <w:t xml:space="preserve">funded participations in </w:t>
      </w:r>
      <w:r>
        <w:rPr>
          <w:rFonts w:ascii="Times New Roman;Times;Serif" w:hAnsi="Times New Roman;Times;Serif"/>
          <w:b w:val="false"/>
          <w:i w:val="false"/>
          <w:caps w:val="false"/>
          <w:smallCaps w:val="false"/>
          <w:sz w:val="20"/>
        </w:rPr>
        <w:t xml:space="preserve">L/C Obligations </w:t>
      </w:r>
      <w:r>
        <w:rPr>
          <w:rFonts w:ascii="Times New Roman;Times;Serif" w:hAnsi="Times New Roman;Times;Serif"/>
          <w:b w:val="false"/>
          <w:i w:val="false"/>
          <w:caps w:val="false"/>
          <w:smallCaps w:val="false"/>
          <w:color w:val="0000FF"/>
          <w:sz w:val="20"/>
          <w:u w:val="single"/>
        </w:rPr>
        <w:t xml:space="preserve">or Swingline Loans </w:t>
      </w:r>
      <w:r>
        <w:rPr>
          <w:rFonts w:ascii="Times New Roman;Times;Serif" w:hAnsi="Times New Roman;Times;Serif"/>
          <w:b w:val="false"/>
          <w:i w:val="false"/>
          <w:caps w:val="false"/>
          <w:smallCaps w:val="false"/>
          <w:sz w:val="20"/>
        </w:rPr>
        <w:t xml:space="preserve">owed to, such Defaulting Lender until such time as all Loans and funded and unfunded participations in L/C Obligations </w:t>
      </w:r>
      <w:r>
        <w:rPr>
          <w:rFonts w:ascii="Times New Roman;Times;Serif" w:hAnsi="Times New Roman;Times;Serif"/>
          <w:b w:val="false"/>
          <w:i w:val="false"/>
          <w:caps w:val="false"/>
          <w:smallCaps w:val="false"/>
          <w:color w:val="0000FF"/>
          <w:sz w:val="20"/>
          <w:u w:val="single"/>
        </w:rPr>
        <w:t xml:space="preserve">and Swingline Loans </w:t>
      </w:r>
      <w:r>
        <w:rPr>
          <w:rFonts w:ascii="Times New Roman;Times;Serif" w:hAnsi="Times New Roman;Times;Serif"/>
          <w:b w:val="false"/>
          <w:i w:val="false"/>
          <w:caps w:val="false"/>
          <w:smallCaps w:val="false"/>
          <w:sz w:val="20"/>
        </w:rPr>
        <w:t xml:space="preserve">are held by the Lenders </w:t>
      </w:r>
      <w:r>
        <w:rPr>
          <w:rFonts w:ascii="Times New Roman;Times;Serif" w:hAnsi="Times New Roman;Times;Serif"/>
          <w:b w:val="false"/>
          <w:i w:val="false"/>
          <w:caps w:val="false"/>
          <w:smallCaps w:val="false"/>
          <w:strike/>
          <w:color w:val="FF0000"/>
          <w:sz w:val="20"/>
        </w:rPr>
        <w:t xml:space="preserve">pro rata </w:t>
      </w:r>
      <w:r>
        <w:rPr>
          <w:rFonts w:ascii="Times New Roman;Times;Serif" w:hAnsi="Times New Roman;Times;Serif"/>
          <w:b w:val="false"/>
          <w:i w:val="false"/>
          <w:caps w:val="false"/>
          <w:smallCaps w:val="false"/>
          <w:sz w:val="20"/>
        </w:rPr>
        <w:t xml:space="preserve">in accordance with the Commitments </w:t>
      </w:r>
      <w:r>
        <w:rPr>
          <w:rFonts w:ascii="Times New Roman;Times;Serif" w:hAnsi="Times New Roman;Times;Serif"/>
          <w:b w:val="false"/>
          <w:i w:val="false"/>
          <w:caps w:val="false"/>
          <w:smallCaps w:val="false"/>
          <w:strike/>
          <w:color w:val="FF0000"/>
          <w:sz w:val="20"/>
        </w:rPr>
        <w:t>under the applicable facility</w:t>
      </w:r>
      <w:r>
        <w:rPr>
          <w:rFonts w:ascii="Times New Roman;Times;Serif" w:hAnsi="Times New Roman;Times;Serif"/>
          <w:b w:val="false"/>
          <w:i w:val="false"/>
          <w:caps w:val="false"/>
          <w:smallCaps w:val="false"/>
          <w:color w:val="0000FF"/>
          <w:sz w:val="20"/>
          <w:u w:val="single"/>
        </w:rPr>
        <w:t>or, with respect to Alternative Currency Loans and L/C Obligations denominated in Alternative Currencies, by the Alternative Currency Lenders in accordance with the Alternative Currency Commitments, in each case</w:t>
      </w:r>
      <w:r>
        <w:rPr>
          <w:rFonts w:ascii="Times New Roman;Times;Serif" w:hAnsi="Times New Roman;Times;Serif"/>
          <w:b w:val="false"/>
          <w:i w:val="false"/>
          <w:caps w:val="false"/>
          <w:smallCaps w:val="false"/>
          <w:sz w:val="20"/>
        </w:rPr>
        <w:t xml:space="preserve"> without giving effect to </w:t>
      </w:r>
      <w:r>
        <w:rPr>
          <w:rFonts w:ascii="Times New Roman;Times;Serif" w:hAnsi="Times New Roman;Times;Serif"/>
          <w:b w:val="false"/>
          <w:i w:val="false"/>
          <w:caps w:val="false"/>
          <w:smallCaps w:val="false"/>
          <w:sz w:val="20"/>
          <w:u w:val="single"/>
        </w:rPr>
        <w:t>Section 2.22(a)(iv)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2.22(a)(ii)</w:t>
      </w:r>
      <w:r>
        <w:rPr>
          <w:rFonts w:ascii="Times New Roman;Times;Serif" w:hAnsi="Times New Roman;Times;Serif"/>
          <w:b w:val="false"/>
          <w:i w:val="false"/>
          <w:caps w:val="false"/>
          <w:smallCaps w:val="false"/>
          <w:sz w:val="20"/>
        </w:rPr>
        <w:t>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Certain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Commitment Fees</w:t>
      </w:r>
      <w:r>
        <w:rPr>
          <w:rFonts w:ascii="Times New Roman;Times;Serif" w:hAnsi="Times New Roman;Times;Serif"/>
          <w:b w:val="false"/>
          <w:i w:val="false"/>
          <w:caps w:val="false"/>
          <w:smallCaps w:val="false"/>
          <w:sz w:val="20"/>
        </w:rPr>
        <w:t xml:space="preserve">. No Defaulting Lender shall be entitled to receive any </w:t>
      </w:r>
      <w:r>
        <w:rPr>
          <w:rFonts w:ascii="Times New Roman;Times;Serif" w:hAnsi="Times New Roman;Times;Serif"/>
          <w:b w:val="false"/>
          <w:i w:val="false"/>
          <w:caps w:val="false"/>
          <w:smallCaps w:val="false"/>
          <w:strike/>
          <w:color w:val="FF0000"/>
          <w:sz w:val="20"/>
        </w:rPr>
        <w:t>commitment</w:t>
      </w:r>
      <w:r>
        <w:rPr>
          <w:rFonts w:ascii="Times New Roman;Times;Serif" w:hAnsi="Times New Roman;Times;Serif"/>
          <w:b w:val="false"/>
          <w:i w:val="false"/>
          <w:caps w:val="false"/>
          <w:smallCaps w:val="false"/>
          <w:color w:val="0000FF"/>
          <w:sz w:val="20"/>
          <w:u w:val="single"/>
        </w:rPr>
        <w:t>Commitment</w:t>
      </w:r>
      <w:r>
        <w:rPr>
          <w:rFonts w:ascii="Times New Roman;Times;Serif" w:hAnsi="Times New Roman;Times;Serif"/>
          <w:b w:val="false"/>
          <w:i w:val="false"/>
          <w:caps w:val="false"/>
          <w:smallCaps w:val="false"/>
          <w:sz w:val="20"/>
        </w:rPr>
        <w:t xml:space="preserve"> Fee for any period during which that Lender is a Defaulting Lender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xml:space="preserve">. 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Reallocation of Fees</w:t>
      </w:r>
      <w:r>
        <w:rPr>
          <w:rFonts w:ascii="Times New Roman;Times;Serif" w:hAnsi="Times New Roman;Times;Serif"/>
          <w:b w:val="false"/>
          <w:i w:val="false"/>
          <w:caps w:val="false"/>
          <w:smallCaps w:val="false"/>
          <w:sz w:val="20"/>
        </w:rPr>
        <w:t xml:space="preserve">. With respect to any Letter of Credit Fee not required to be paid to any Defaulting Lender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below, (y) pay to each L/C Issuer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the amount of any such fee otherwise payable to such Defaulting Lender to the extent allocable to such L/C Issuer’s Fronting Exposure to such Defaulting Lender, and (z) not be required to pay the remaining amount of any such fee. </w:t>
      </w:r>
      <w:r>
        <w:rPr>
          <w:rFonts w:ascii="Times New Roman;Times;Serif" w:hAnsi="Times New Roman;Times;Serif"/>
          <w:b w:val="false"/>
          <w:i w:val="false"/>
          <w:caps w:val="false"/>
          <w:smallCaps w:val="false"/>
          <w:color w:val="0000FF"/>
          <w:sz w:val="20"/>
          <w:u w:val="single"/>
        </w:rPr>
        <w:t>With respect to any Commitment Fee not required to be paid to any Defaulting Lender pursuant to clause (A) above and allocable to such Defaulting Lender’s participation in Swingline Loans, the Borrowers shall pay such amount to the Swingline Lender to the extent allocable to the Swingline Lender’s Fronting Exposure to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Reallocation of Participations to Reduce Fronting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All or any part of such Defaulting Lender’s participation in L/C Obligations denominated in Dollars and Swingline Loans shall be automatically reallocated among the Non-Defaulting Lenders (effective on the date that such Lender became a Defaulting Lender) in accordance with their respective Pro Rata Shares (calculated without regard to such Defaulting Lender’s Commitment) but only to the extent that such reallocation does not cause the aggregate Committed Funded Exposure of any Non-Defaulting Lender to exceed such Non-Defaulting Lender’s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(iv) Reallocation of Participations to Reduce Fronting Exposure. </w:t>
      </w:r>
      <w:r>
        <w:rPr>
          <w:rFonts w:ascii="Times New Roman;Times;Serif" w:hAnsi="Times New Roman;Times;Serif"/>
          <w:b w:val="false"/>
          <w:i w:val="false"/>
          <w:caps w:val="false"/>
          <w:smallCaps w:val="false"/>
          <w:sz w:val="20"/>
        </w:rPr>
        <w:t xml:space="preserve">All or any part of such Defaulting Lender’s participation in L/C Obligations </w:t>
      </w:r>
      <w:r>
        <w:rPr>
          <w:rFonts w:ascii="Times New Roman;Times;Serif" w:hAnsi="Times New Roman;Times;Serif"/>
          <w:b w:val="false"/>
          <w:i w:val="false"/>
          <w:caps w:val="false"/>
          <w:smallCaps w:val="false"/>
          <w:color w:val="0000FF"/>
          <w:sz w:val="20"/>
          <w:u w:val="single"/>
        </w:rPr>
        <w:t xml:space="preserve">denominated in Alternative Currencies, if such Defaulting Lender is an Alternative Currency Lender, </w:t>
      </w:r>
      <w:r>
        <w:rPr>
          <w:rFonts w:ascii="Times New Roman;Times;Serif" w:hAnsi="Times New Roman;Times;Serif"/>
          <w:b w:val="false"/>
          <w:i w:val="false"/>
          <w:caps w:val="false"/>
          <w:smallCaps w:val="false"/>
          <w:sz w:val="20"/>
        </w:rPr>
        <w:t xml:space="preserve">shall be automatically reallocated among the Non-Defaulting </w:t>
      </w:r>
      <w:r>
        <w:rPr>
          <w:rFonts w:ascii="Times New Roman;Times;Serif" w:hAnsi="Times New Roman;Times;Serif"/>
          <w:b w:val="false"/>
          <w:i w:val="false"/>
          <w:caps w:val="false"/>
          <w:smallCaps w:val="false"/>
          <w:color w:val="0000FF"/>
          <w:sz w:val="20"/>
          <w:u w:val="single"/>
        </w:rPr>
        <w:t xml:space="preserve">Alternative Currency </w:t>
      </w:r>
      <w:r>
        <w:rPr>
          <w:rFonts w:ascii="Times New Roman;Times;Serif" w:hAnsi="Times New Roman;Times;Serif"/>
          <w:b w:val="false"/>
          <w:i w:val="false"/>
          <w:caps w:val="false"/>
          <w:smallCaps w:val="false"/>
          <w:sz w:val="20"/>
        </w:rPr>
        <w:t xml:space="preserve">Lenders </w:t>
      </w:r>
      <w:r>
        <w:rPr>
          <w:rFonts w:ascii="Times New Roman;Times;Serif" w:hAnsi="Times New Roman;Times;Serif"/>
          <w:b w:val="false"/>
          <w:i w:val="false"/>
          <w:caps w:val="false"/>
          <w:smallCaps w:val="false"/>
          <w:strike/>
          <w:color w:val="FF0000"/>
          <w:sz w:val="20"/>
        </w:rPr>
        <w:t xml:space="preserve">(effective on the date that such Lender became a Defaulting Lender) </w:t>
      </w:r>
      <w:r>
        <w:rPr>
          <w:rFonts w:ascii="Times New Roman;Times;Serif" w:hAnsi="Times New Roman;Times;Serif"/>
          <w:b w:val="false"/>
          <w:i w:val="false"/>
          <w:caps w:val="false"/>
          <w:smallCaps w:val="false"/>
          <w:sz w:val="20"/>
        </w:rPr>
        <w:t xml:space="preserve">in accordance with their respective </w:t>
      </w:r>
      <w:r>
        <w:rPr>
          <w:rFonts w:ascii="Times New Roman;Times;Serif" w:hAnsi="Times New Roman;Times;Serif"/>
          <w:b w:val="false"/>
          <w:i w:val="false"/>
          <w:caps w:val="false"/>
          <w:smallCaps w:val="false"/>
          <w:color w:val="0000FF"/>
          <w:sz w:val="20"/>
          <w:u w:val="single"/>
        </w:rPr>
        <w:t xml:space="preserve">Alternative Currency </w:t>
      </w:r>
      <w:r>
        <w:rPr>
          <w:rFonts w:ascii="Times New Roman;Times;Serif" w:hAnsi="Times New Roman;Times;Serif"/>
          <w:b w:val="false"/>
          <w:i w:val="false"/>
          <w:caps w:val="false"/>
          <w:smallCaps w:val="false"/>
          <w:sz w:val="20"/>
        </w:rPr>
        <w:t xml:space="preserve">Pro Rata Shares (calculated without regard to such Defaulting Lender’s </w:t>
      </w:r>
      <w:r>
        <w:rPr>
          <w:rFonts w:ascii="Times New Roman;Times;Serif" w:hAnsi="Times New Roman;Times;Serif"/>
          <w:b w:val="false"/>
          <w:i w:val="false"/>
          <w:caps w:val="false"/>
          <w:smallCaps w:val="false"/>
          <w:color w:val="0000FF"/>
          <w:sz w:val="20"/>
          <w:u w:val="single"/>
        </w:rPr>
        <w:t xml:space="preserve">Alternative Currency </w:t>
      </w:r>
      <w:r>
        <w:rPr>
          <w:rFonts w:ascii="Times New Roman;Times;Serif" w:hAnsi="Times New Roman;Times;Serif"/>
          <w:b w:val="false"/>
          <w:i w:val="false"/>
          <w:caps w:val="false"/>
          <w:smallCaps w:val="false"/>
          <w:sz w:val="20"/>
        </w:rPr>
        <w:t xml:space="preserve">Commitment) but only to the extent that such reallocation does not cause the </w:t>
      </w:r>
      <w:r>
        <w:rPr>
          <w:rFonts w:ascii="Times New Roman;Times;Serif" w:hAnsi="Times New Roman;Times;Serif"/>
          <w:b w:val="false"/>
          <w:i w:val="false"/>
          <w:caps w:val="false"/>
          <w:smallCaps w:val="false"/>
          <w:strike/>
          <w:color w:val="FF0000"/>
          <w:sz w:val="20"/>
        </w:rPr>
        <w:t>aggregate Committed Funded</w:t>
      </w:r>
      <w:r>
        <w:rPr>
          <w:rFonts w:ascii="Times New Roman;Times;Serif" w:hAnsi="Times New Roman;Times;Serif"/>
          <w:b w:val="false"/>
          <w:i w:val="false"/>
          <w:caps w:val="false"/>
          <w:smallCaps w:val="false"/>
          <w:color w:val="0000FF"/>
          <w:sz w:val="20"/>
          <w:u w:val="single"/>
        </w:rPr>
        <w:t>Alternative Currency</w:t>
      </w:r>
      <w:r>
        <w:rPr>
          <w:rFonts w:ascii="Times New Roman;Times;Serif" w:hAnsi="Times New Roman;Times;Serif"/>
          <w:b w:val="false"/>
          <w:i w:val="false"/>
          <w:caps w:val="false"/>
          <w:smallCaps w:val="false"/>
          <w:sz w:val="20"/>
        </w:rPr>
        <w:t xml:space="preserve"> Exposure of any Non-Defaulting </w:t>
      </w:r>
      <w:r>
        <w:rPr>
          <w:rFonts w:ascii="Times New Roman;Times;Serif" w:hAnsi="Times New Roman;Times;Serif"/>
          <w:b w:val="false"/>
          <w:i w:val="false"/>
          <w:caps w:val="false"/>
          <w:smallCaps w:val="false"/>
          <w:color w:val="0000FF"/>
          <w:sz w:val="20"/>
          <w:u w:val="single"/>
        </w:rPr>
        <w:t xml:space="preserve">Alternative Currency </w:t>
      </w:r>
      <w:r>
        <w:rPr>
          <w:rFonts w:ascii="Times New Roman;Times;Serif" w:hAnsi="Times New Roman;Times;Serif"/>
          <w:b w:val="false"/>
          <w:i w:val="false"/>
          <w:caps w:val="false"/>
          <w:smallCaps w:val="false"/>
          <w:sz w:val="20"/>
        </w:rPr>
        <w:t xml:space="preserve">Lender to exceed such Non-Defaulting </w:t>
      </w:r>
      <w:r>
        <w:rPr>
          <w:rFonts w:ascii="Times New Roman;Times;Serif" w:hAnsi="Times New Roman;Times;Serif"/>
          <w:b w:val="false"/>
          <w:i w:val="false"/>
          <w:caps w:val="false"/>
          <w:smallCaps w:val="false"/>
          <w:color w:val="0000FF"/>
          <w:sz w:val="20"/>
          <w:u w:val="single"/>
        </w:rPr>
        <w:t xml:space="preserve">Alternative Currency </w:t>
      </w:r>
      <w:r>
        <w:rPr>
          <w:rFonts w:ascii="Times New Roman;Times;Serif" w:hAnsi="Times New Roman;Times;Serif"/>
          <w:b w:val="false"/>
          <w:i w:val="false"/>
          <w:caps w:val="false"/>
          <w:smallCaps w:val="false"/>
          <w:sz w:val="20"/>
        </w:rPr>
        <w:t xml:space="preserve">Lender’s </w:t>
      </w:r>
      <w:r>
        <w:rPr>
          <w:rFonts w:ascii="Times New Roman;Times;Serif" w:hAnsi="Times New Roman;Times;Serif"/>
          <w:b w:val="false"/>
          <w:i w:val="false"/>
          <w:caps w:val="false"/>
          <w:smallCaps w:val="false"/>
          <w:color w:val="0000FF"/>
          <w:sz w:val="20"/>
          <w:u w:val="single"/>
        </w:rPr>
        <w:t xml:space="preserve">Alternative Currency </w:t>
      </w:r>
      <w:r>
        <w:rPr>
          <w:rFonts w:ascii="Times New Roman;Times;Serif" w:hAnsi="Times New Roman;Times;Serif"/>
          <w:b w:val="false"/>
          <w:i w:val="false"/>
          <w:caps w:val="false"/>
          <w:smallCaps w:val="false"/>
          <w:sz w:val="20"/>
        </w:rPr>
        <w:t xml:space="preserve">Commitment. Subject to Section 9.13, no reallocation hereunder shall constitute a waiver or release of any claim of any party hereunder against a Defaulting Lender arising from that Lender having become a Defaulting Lender, including any claim of a Non-Defaulting Lender </w:t>
      </w:r>
      <w:r>
        <w:rPr>
          <w:rFonts w:ascii="Times New Roman;Times;Serif" w:hAnsi="Times New Roman;Times;Serif"/>
          <w:b w:val="false"/>
          <w:i w:val="false"/>
          <w:caps w:val="false"/>
          <w:smallCaps w:val="false"/>
          <w:color w:val="0000FF"/>
          <w:sz w:val="20"/>
          <w:u w:val="single"/>
        </w:rPr>
        <w:t xml:space="preserve">or Non-Defaulting Alternative Currency Lender </w:t>
      </w:r>
      <w:r>
        <w:rPr>
          <w:rFonts w:ascii="Times New Roman;Times;Serif" w:hAnsi="Times New Roman;Times;Serif"/>
          <w:b w:val="false"/>
          <w:i w:val="false"/>
          <w:caps w:val="false"/>
          <w:smallCaps w:val="false"/>
          <w:sz w:val="20"/>
        </w:rPr>
        <w:t xml:space="preserve">as a result of such </w:t>
      </w:r>
      <w:r>
        <w:rPr>
          <w:rFonts w:ascii="Times New Roman;Times;Serif" w:hAnsi="Times New Roman;Times;Serif"/>
          <w:b w:val="false"/>
          <w:i w:val="false"/>
          <w:caps w:val="false"/>
          <w:smallCaps w:val="false"/>
          <w:strike/>
          <w:color w:val="FF0000"/>
          <w:sz w:val="20"/>
        </w:rPr>
        <w:t>Non-Defaulting Lender’s</w:t>
      </w:r>
      <w:r>
        <w:rPr>
          <w:rFonts w:ascii="Times New Roman;Times;Serif" w:hAnsi="Times New Roman;Times;Serif"/>
          <w:b w:val="false"/>
          <w:i w:val="false"/>
          <w:caps w:val="false"/>
          <w:smallCaps w:val="false"/>
          <w:color w:val="0000FF"/>
          <w:sz w:val="20"/>
          <w:u w:val="single"/>
        </w:rPr>
        <w:t>Person’s</w:t>
      </w:r>
      <w:r>
        <w:rPr>
          <w:rFonts w:ascii="Times New Roman;Times;Serif" w:hAnsi="Times New Roman;Times;Serif"/>
          <w:b w:val="false"/>
          <w:i w:val="false"/>
          <w:caps w:val="false"/>
          <w:smallCaps w:val="false"/>
          <w:sz w:val="20"/>
        </w:rPr>
        <w:t xml:space="preserve">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color w:val="0000FF"/>
          <w:sz w:val="20"/>
          <w:u w:val="single"/>
        </w:rPr>
        <w:t xml:space="preserve">Repayment of Swingline Loans;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If the reallocation described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above cannot, or can only partially, be effected,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without prejudice to any right or remedy available to it hereunder or under law, </w:t>
      </w:r>
      <w:r>
        <w:rPr>
          <w:rFonts w:ascii="Times New Roman;Times;Serif" w:hAnsi="Times New Roman;Times;Serif"/>
          <w:b w:val="false"/>
          <w:i w:val="false"/>
          <w:caps w:val="false"/>
          <w:smallCaps w:val="false"/>
          <w:color w:val="0000FF"/>
          <w:sz w:val="20"/>
          <w:u w:val="single"/>
        </w:rPr>
        <w:t>(x) </w:t>
      </w:r>
      <w:r>
        <w:rPr>
          <w:rFonts w:ascii="Times New Roman;Times;Serif" w:hAnsi="Times New Roman;Times;Serif"/>
          <w:b w:val="false"/>
          <w:i/>
          <w:caps w:val="false"/>
          <w:smallCaps w:val="false"/>
          <w:color w:val="0000FF"/>
          <w:sz w:val="20"/>
          <w:u w:val="single"/>
        </w:rPr>
        <w:t>first</w:t>
      </w:r>
      <w:r>
        <w:rPr>
          <w:rFonts w:ascii="Times New Roman;Times;Serif" w:hAnsi="Times New Roman;Times;Serif"/>
          <w:b w:val="false"/>
          <w:i w:val="false"/>
          <w:caps w:val="false"/>
          <w:smallCaps w:val="false"/>
          <w:color w:val="0000FF"/>
          <w:sz w:val="20"/>
          <w:u w:val="single"/>
        </w:rPr>
        <w:t>, repay Swingline Loans in an amount equal to the Swingline Lender’s Fronting Exposure and (y) </w:t>
      </w:r>
      <w:r>
        <w:rPr>
          <w:rFonts w:ascii="Times New Roman;Times;Serif" w:hAnsi="Times New Roman;Times;Serif"/>
          <w:b w:val="false"/>
          <w:i/>
          <w:caps w:val="false"/>
          <w:smallCaps w:val="false"/>
          <w:color w:val="0000FF"/>
          <w:sz w:val="20"/>
          <w:u w:val="single"/>
        </w:rPr>
        <w:t>second</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val="false"/>
          <w:i w:val="false"/>
          <w:caps w:val="false"/>
          <w:smallCaps w:val="false"/>
          <w:sz w:val="20"/>
        </w:rPr>
        <w:t xml:space="preserve">Cash Collateralize the L/C Issuer’s Fronting Exposure in accordance with the procedures set forth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Agent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L/C Issuer </w:t>
      </w:r>
      <w:r>
        <w:rPr>
          <w:rFonts w:ascii="Times New Roman;Times;Serif" w:hAnsi="Times New Roman;Times;Serif"/>
          <w:b w:val="false"/>
          <w:i w:val="false"/>
          <w:caps w:val="false"/>
          <w:smallCaps w:val="false"/>
          <w:color w:val="0000FF"/>
          <w:sz w:val="20"/>
          <w:u w:val="single"/>
        </w:rPr>
        <w:t xml:space="preserve">and the Swingline Lender </w:t>
      </w:r>
      <w:r>
        <w:rPr>
          <w:rFonts w:ascii="Times New Roman;Times;Serif" w:hAnsi="Times New Roman;Times;Serif"/>
          <w:b w:val="false"/>
          <w:i w:val="false"/>
          <w:caps w:val="false"/>
          <w:smallCaps w:val="false"/>
          <w:sz w:val="20"/>
        </w:rPr>
        <w:t xml:space="preserve">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Loans and funded and unfunded participations in Letters of Credit </w:t>
      </w:r>
      <w:r>
        <w:rPr>
          <w:rFonts w:ascii="Times New Roman;Times;Serif" w:hAnsi="Times New Roman;Times;Serif"/>
          <w:b w:val="false"/>
          <w:i w:val="false"/>
          <w:caps w:val="false"/>
          <w:smallCaps w:val="false"/>
          <w:color w:val="0000FF"/>
          <w:sz w:val="20"/>
          <w:u w:val="single"/>
        </w:rPr>
        <w:t xml:space="preserve">and Swingline Loans </w:t>
      </w:r>
      <w:r>
        <w:rPr>
          <w:rFonts w:ascii="Times New Roman;Times;Serif" w:hAnsi="Times New Roman;Times;Serif"/>
          <w:b w:val="false"/>
          <w:i w:val="false"/>
          <w:caps w:val="false"/>
          <w:smallCaps w:val="false"/>
          <w:sz w:val="20"/>
        </w:rPr>
        <w:t xml:space="preserve">to be held on a pro rata basis by the Lenders in accordance with their Pro Rata Shares (without giving effect to </w:t>
      </w:r>
      <w:r>
        <w:rPr>
          <w:rFonts w:ascii="Times New Roman;Times;Serif" w:hAnsi="Times New Roman;Times;Serif"/>
          <w:b w:val="false"/>
          <w:i w:val="false"/>
          <w:caps w:val="false"/>
          <w:smallCaps w:val="false"/>
          <w:sz w:val="20"/>
          <w:u w:val="single"/>
        </w:rPr>
        <w:t>Section 2.22(a)(iv)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 if such Lender is an Alternative Currency Lender, to cause Alternative Currency Loans and funded and unfunded participations in Letters of Credit denominated in Alternative Currencies to be held by the Alternative Currency Lenders in accordance with their Alternative Currency Pro Rata Shares</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while that Lender was a Defaulting Lender;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 xml:space="preserve">New Letters of Credit </w:t>
      </w:r>
      <w:r>
        <w:rPr>
          <w:rFonts w:ascii="Times New Roman;Times;Serif" w:hAnsi="Times New Roman;Times;Serif"/>
          <w:b w:val="false"/>
          <w:i w:val="false"/>
          <w:caps w:val="false"/>
          <w:smallCaps w:val="false"/>
          <w:color w:val="0000FF"/>
          <w:sz w:val="20"/>
          <w:u w:val="single"/>
        </w:rPr>
        <w:t>and Swingline Loans</w:t>
      </w:r>
      <w:r>
        <w:rPr>
          <w:rFonts w:ascii="Times New Roman;Times;Serif" w:hAnsi="Times New Roman;Times;Serif"/>
          <w:b w:val="false"/>
          <w:i w:val="false"/>
          <w:caps w:val="false"/>
          <w:smallCaps w:val="false"/>
          <w:sz w:val="20"/>
        </w:rPr>
        <w:t xml:space="preserve">. So long as any Lender is a Defaulting Lender, </w:t>
      </w:r>
      <w:r>
        <w:rPr>
          <w:rFonts w:ascii="Times New Roman;Times;Serif" w:hAnsi="Times New Roman;Times;Serif"/>
          <w:b w:val="false"/>
          <w:i w:val="false"/>
          <w:caps w:val="false"/>
          <w:smallCaps w:val="false"/>
          <w:color w:val="0000FF"/>
          <w:sz w:val="20"/>
          <w:u w:val="single"/>
        </w:rPr>
        <w:t>(a) </w:t>
      </w:r>
      <w:r>
        <w:rPr>
          <w:rFonts w:ascii="Times New Roman;Times;Serif" w:hAnsi="Times New Roman;Times;Serif"/>
          <w:b w:val="false"/>
          <w:i w:val="false"/>
          <w:caps w:val="false"/>
          <w:smallCaps w:val="false"/>
          <w:sz w:val="20"/>
        </w:rPr>
        <w:t>no L/C Issuer shall be required to issue, extend, renew or increase any Letter of Credit unless it is satisfied that it will have no Fronting Exposure after giving effect thereto</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including Fronting Exposure to any Defaulting Lender that is an Alternative Currency Lender with respect to any Letter of Credit denominated in an Alternative Currency, and (b) the Swingline Lender shall not be required to make any Swingline Loan unless it is satisfied that it will have no Fronting Exposure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Pro Rata Treatment and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Allocation of Payments Prior to Exercise of Remedies</w:t>
      </w:r>
      <w:r>
        <w:rPr>
          <w:rFonts w:ascii="Times New Roman;Times;Serif" w:hAnsi="Times New Roman;Times;Serif"/>
          <w:b w:val="false"/>
          <w:i w:val="false"/>
          <w:caps w:val="false"/>
          <w:smallCaps w:val="false"/>
          <w:sz w:val="20"/>
        </w:rPr>
        <w:t xml:space="preserve">. Each borrowing of Loans </w:t>
      </w:r>
      <w:r>
        <w:rPr>
          <w:rFonts w:ascii="Times New Roman;Times;Serif" w:hAnsi="Times New Roman;Times;Serif"/>
          <w:b w:val="false"/>
          <w:i w:val="false"/>
          <w:caps w:val="false"/>
          <w:smallCaps w:val="false"/>
          <w:color w:val="0000FF"/>
          <w:sz w:val="20"/>
          <w:u w:val="single"/>
        </w:rPr>
        <w:t xml:space="preserve">denominated in Dollars (other than Swingline Loans, but including CB Floating Rate Advances made to refund Swingline Loans pursuant to Section 2.1(b)) </w:t>
      </w:r>
      <w:r>
        <w:rPr>
          <w:rFonts w:ascii="Times New Roman;Times;Serif" w:hAnsi="Times New Roman;Times;Serif"/>
          <w:b w:val="false"/>
          <w:i w:val="false"/>
          <w:caps w:val="false"/>
          <w:smallCaps w:val="false"/>
          <w:sz w:val="20"/>
        </w:rPr>
        <w:t>and any reduction of the Commitments shall be made pro rata according to the respective Pro Rata Share of the Lenders</w:t>
      </w:r>
      <w:r>
        <w:rPr>
          <w:rFonts w:ascii="Times New Roman;Times;Serif" w:hAnsi="Times New Roman;Times;Serif"/>
          <w:b w:val="false"/>
          <w:i w:val="false"/>
          <w:caps w:val="false"/>
          <w:smallCaps w:val="false"/>
          <w:color w:val="0000FF"/>
          <w:sz w:val="20"/>
          <w:u w:val="single"/>
        </w:rPr>
        <w:t>, and each borrowing of Alternative Currency Loans and any reduction of the Alternative Currency Commitments shall be made pro rata according to the respective Alternative Currency Pro Rata Share of the Alternative Currency Lenders</w:t>
      </w:r>
      <w:r>
        <w:rPr>
          <w:rFonts w:ascii="Times New Roman;Times;Serif" w:hAnsi="Times New Roman;Times;Serif"/>
          <w:b w:val="false"/>
          <w:i w:val="false"/>
          <w:caps w:val="false"/>
          <w:smallCaps w:val="false"/>
          <w:sz w:val="20"/>
        </w:rPr>
        <w:t xml:space="preserve">. Unless otherwise required by the terms of this Agreement, each payment under this Agreement shall be applied,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any fees then due and owing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interest then due and owing hereunder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principal then due and owing hereunder and under this Agreement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 provided that (i) payments in respect of Swingline Loans shall be applied in accordance with Section 2.1(b) and Section 2.7, as applicable, and (ii) payments of principal of, interest on and fees specifically attributable to Alternative Currency Loans or Letters of Credit denominated in Alternative Currencies shall be paid only to the Alternative Currency Lenders in accordance with their Alternative Currency Pro Rata Shares or the actual amounts owed to them, as applicable.</w:t>
      </w:r>
      <w:r>
        <w:rPr>
          <w:rFonts w:ascii="Times New Roman;Times;Serif" w:hAnsi="Times New Roman;Times;Serif"/>
          <w:b w:val="false"/>
          <w:i w:val="false"/>
          <w:caps w:val="false"/>
          <w:smallCaps w:val="false"/>
          <w:sz w:val="20"/>
        </w:rPr>
        <w:t xml:space="preserve"> Each payment on account of any fees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2.19</w:t>
      </w:r>
      <w:r>
        <w:rPr>
          <w:rFonts w:ascii="Times New Roman;Times;Serif" w:hAnsi="Times New Roman;Times;Serif"/>
          <w:b w:val="false"/>
          <w:i w:val="false"/>
          <w:caps w:val="false"/>
          <w:smallCaps w:val="false"/>
          <w:sz w:val="20"/>
        </w:rPr>
        <w:t xml:space="preserve"> shall be made pro rata in accordance with the respective amounts due and owing (except as to the Letter of Credit Facing Fees and the L/C Issuer Fees which shall be paid to the L/C Issuer). Each optional repayment and prepayment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on account of principal of and interest on the Loans </w:t>
      </w:r>
      <w:r>
        <w:rPr>
          <w:rFonts w:ascii="Times New Roman;Times;Serif" w:hAnsi="Times New Roman;Times;Serif"/>
          <w:b w:val="false"/>
          <w:i w:val="false"/>
          <w:caps w:val="false"/>
          <w:smallCaps w:val="false"/>
          <w:color w:val="0000FF"/>
          <w:sz w:val="20"/>
          <w:u w:val="single"/>
        </w:rPr>
        <w:t xml:space="preserve">(other than Swingline Loans) </w:t>
      </w:r>
      <w:r>
        <w:rPr>
          <w:rFonts w:ascii="Times New Roman;Times;Serif" w:hAnsi="Times New Roman;Times;Serif"/>
          <w:b w:val="false"/>
          <w:i w:val="false"/>
          <w:caps w:val="false"/>
          <w:smallCaps w:val="false"/>
          <w:sz w:val="20"/>
        </w:rPr>
        <w:t xml:space="preserve">shall be applied to such Loans, on a pro rata basis and, to the extent applicable, in accordance with the terms of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Allocation of Payments After Exercise of Remedies</w:t>
      </w:r>
      <w:r>
        <w:rPr>
          <w:rFonts w:ascii="Times New Roman;Times;Serif" w:hAnsi="Times New Roman;Times;Serif"/>
          <w:b w:val="false"/>
          <w:i w:val="false"/>
          <w:caps w:val="false"/>
          <w:smallCaps w:val="false"/>
          <w:sz w:val="20"/>
        </w:rPr>
        <w:t xml:space="preserve">. Notwithstanding any other provisions of this Agreement to the contrary, after the exercise of remedies (other than the application of default interest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by the Agent or the Lenders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after the Commitments shall automatically terminate and the Loans (with accrued interest thereon) and all other amounts under the Loan Documents (including, without limitation, the maximum amount of all contingent liabilities under Letters of Credit) shall automatically become due and payable in accordance with the terms of such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xml:space="preserve">), all amounts collected or received by the Agent or any Lender on account of the Obligations or any other amounts outstanding under any of the Loan Documents shall be paid over or delivered as follows (irrespective of whether the following costs, expenses, fees, interest, premiums, scheduled periodic payments or Obligations are allowed, permitted or recognized as a claim in any proceeding resulting from the occurrence of a Bankruptcy Event </w:t>
      </w:r>
      <w:r>
        <w:rPr>
          <w:rFonts w:ascii="Times New Roman;Times;Serif" w:hAnsi="Times New Roman;Times;Serif"/>
          <w:b w:val="false"/>
          <w:i w:val="false"/>
          <w:caps w:val="false"/>
          <w:smallCaps w:val="false"/>
          <w:color w:val="0000FF"/>
          <w:sz w:val="20"/>
          <w:u w:val="single"/>
        </w:rPr>
        <w:t>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FIRST</w:t>
      </w:r>
      <w:r>
        <w:rPr>
          <w:rFonts w:ascii="Times New Roman;Times;Serif" w:hAnsi="Times New Roman;Times;Serif"/>
          <w:b w:val="false"/>
          <w:i/>
          <w:caps w:val="false"/>
          <w:smallCaps w:val="false"/>
          <w:color w:val="0000FF"/>
          <w:sz w:val="20"/>
          <w:u w:val="single"/>
        </w:rPr>
        <w:t>First</w:t>
      </w:r>
      <w:r>
        <w:rPr>
          <w:rFonts w:ascii="Times New Roman;Times;Serif" w:hAnsi="Times New Roman;Times;Serif"/>
          <w:b w:val="false"/>
          <w:i w:val="false"/>
          <w:caps w:val="false"/>
          <w:smallCaps w:val="false"/>
          <w:sz w:val="20"/>
        </w:rPr>
        <w:t xml:space="preserve">, to the payment of all reasonable out-of-pocket costs and expenses (including, without limitation, reasonable attorneys’ fees, but subject to the limitations set forth in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with respect to any such attorneys’ fees) </w:t>
      </w:r>
      <w:r>
        <w:rPr>
          <w:rFonts w:ascii="Times New Roman;Times;Serif" w:hAnsi="Times New Roman;Times;Serif"/>
          <w:b w:val="false"/>
          <w:i w:val="false"/>
          <w:caps w:val="false"/>
          <w:smallCaps w:val="false"/>
          <w:color w:val="0000FF"/>
          <w:sz w:val="20"/>
          <w:u w:val="single"/>
        </w:rPr>
        <w:t xml:space="preserve">and fees </w:t>
      </w:r>
      <w:r>
        <w:rPr>
          <w:rFonts w:ascii="Times New Roman;Times;Serif" w:hAnsi="Times New Roman;Times;Serif"/>
          <w:b w:val="false"/>
          <w:i w:val="false"/>
          <w:caps w:val="false"/>
          <w:smallCaps w:val="false"/>
          <w:sz w:val="20"/>
        </w:rPr>
        <w:t>of the Agent in connection with enforcing the rights of the Lenders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caps w:val="false"/>
          <w:smallCaps w:val="false"/>
          <w:color w:val="0000FF"/>
          <w:sz w:val="20"/>
          <w:u w:val="single"/>
        </w:rPr>
        <w:t>Second</w:t>
      </w:r>
      <w:r>
        <w:rPr>
          <w:rFonts w:ascii="Times New Roman;Times;Serif" w:hAnsi="Times New Roman;Times;Serif"/>
          <w:b w:val="false"/>
          <w:i w:val="false"/>
          <w:caps w:val="false"/>
          <w:smallCaps w:val="false"/>
          <w:sz w:val="20"/>
        </w:rPr>
        <w:t>, to the payment of any fees owed to the Agent and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THIRD</w:t>
      </w:r>
      <w:r>
        <w:rPr>
          <w:rFonts w:ascii="Times New Roman;Times;Serif" w:hAnsi="Times New Roman;Times;Serif"/>
          <w:b w:val="false"/>
          <w:i/>
          <w:caps w:val="false"/>
          <w:smallCaps w:val="false"/>
          <w:color w:val="0000FF"/>
          <w:sz w:val="20"/>
          <w:u w:val="single"/>
        </w:rPr>
        <w:t>Third</w:t>
      </w:r>
      <w:r>
        <w:rPr>
          <w:rFonts w:ascii="Times New Roman;Times;Serif" w:hAnsi="Times New Roman;Times;Serif"/>
          <w:b w:val="false"/>
          <w:i w:val="false"/>
          <w:caps w:val="false"/>
          <w:smallCaps w:val="false"/>
          <w:sz w:val="20"/>
        </w:rPr>
        <w:t xml:space="preserve">, to the payment of all reasonable out-of-pocket costs and expenses (including, without limitation, reasonable attorneys’ fees, but subject to the limitations set forth in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with respect to any such attorneys’ fees) of each of the Lenders in connection with enforcing its rights under the Loan Documents or otherwise with respect to the Obligations owing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FOURTH</w:t>
      </w:r>
      <w:r>
        <w:rPr>
          <w:rFonts w:ascii="Times New Roman;Times;Serif" w:hAnsi="Times New Roman;Times;Serif"/>
          <w:b w:val="false"/>
          <w:i/>
          <w:caps w:val="false"/>
          <w:smallCaps w:val="false"/>
          <w:color w:val="0000FF"/>
          <w:sz w:val="20"/>
          <w:u w:val="single"/>
        </w:rPr>
        <w:t>Fourth</w:t>
      </w:r>
      <w:r>
        <w:rPr>
          <w:rFonts w:ascii="Times New Roman;Times;Serif" w:hAnsi="Times New Roman;Times;Serif"/>
          <w:b w:val="false"/>
          <w:i w:val="false"/>
          <w:caps w:val="false"/>
          <w:smallCaps w:val="false"/>
          <w:sz w:val="20"/>
        </w:rPr>
        <w:t>, to the payment of all of the Obligations consisting of accrued fees and interest, and including, with respect to any Banking Services, any fees, premiums and scheduled periodic payments due under such Banking Services and any interest accrued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FIFTH</w:t>
      </w:r>
      <w:r>
        <w:rPr>
          <w:rFonts w:ascii="Times New Roman;Times;Serif" w:hAnsi="Times New Roman;Times;Serif"/>
          <w:b w:val="false"/>
          <w:i/>
          <w:caps w:val="false"/>
          <w:smallCaps w:val="false"/>
          <w:color w:val="0000FF"/>
          <w:sz w:val="20"/>
          <w:u w:val="single"/>
        </w:rPr>
        <w:t>Fifth</w:t>
      </w:r>
      <w:r>
        <w:rPr>
          <w:rFonts w:ascii="Times New Roman;Times;Serif" w:hAnsi="Times New Roman;Times;Serif"/>
          <w:b w:val="false"/>
          <w:i w:val="false"/>
          <w:caps w:val="false"/>
          <w:smallCaps w:val="false"/>
          <w:sz w:val="20"/>
        </w:rPr>
        <w:t>, to the payment of the outstanding principal amount of the Obligations and the payment or Cash Collateralization of the outstanding L/C Obligations, and including with respect to any Banking Services, any breakage, termination or other payments due under such Banking Services and any interest accrued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SIXTH</w:t>
      </w:r>
      <w:r>
        <w:rPr>
          <w:rFonts w:ascii="Times New Roman;Times;Serif" w:hAnsi="Times New Roman;Times;Serif"/>
          <w:b w:val="false"/>
          <w:i/>
          <w:caps w:val="false"/>
          <w:smallCaps w:val="false"/>
          <w:color w:val="0000FF"/>
          <w:sz w:val="20"/>
          <w:u w:val="single"/>
        </w:rPr>
        <w:t>Sixth</w:t>
      </w:r>
      <w:r>
        <w:rPr>
          <w:rFonts w:ascii="Times New Roman;Times;Serif" w:hAnsi="Times New Roman;Times;Serif"/>
          <w:b w:val="false"/>
          <w:i w:val="false"/>
          <w:caps w:val="false"/>
          <w:smallCaps w:val="false"/>
          <w:sz w:val="20"/>
        </w:rPr>
        <w:t>, to all other Obligations and other obligations which shall have become due and payable under the Loan Documents or otherwise and not repaid pursuant to clauses “FIRST” through “FIFTH”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SEVENTH</w:t>
      </w:r>
      <w:r>
        <w:rPr>
          <w:rFonts w:ascii="Times New Roman;Times;Serif" w:hAnsi="Times New Roman;Times;Serif"/>
          <w:b w:val="false"/>
          <w:i/>
          <w:caps w:val="false"/>
          <w:smallCaps w:val="false"/>
          <w:color w:val="0000FF"/>
          <w:sz w:val="20"/>
          <w:u w:val="single"/>
        </w:rPr>
        <w:t>Seventh</w:t>
      </w:r>
      <w:r>
        <w:rPr>
          <w:rFonts w:ascii="Times New Roman;Times;Serif" w:hAnsi="Times New Roman;Times;Serif"/>
          <w:b w:val="false"/>
          <w:i w:val="false"/>
          <w:caps w:val="false"/>
          <w:smallCaps w:val="false"/>
          <w:sz w:val="20"/>
        </w:rPr>
        <w:t>, to the payment of the surplus, if any, to whoever may be lawfully entitled to receive such surplus.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carrying out the foregoing, (a) amounts received shall be applied in the numerical order provided until exhausted prior to application to the next succeeding category; (b) each of the Lenders and any provider of Banking Services shall receive an amount equal to its pro rata share (based on the proportion that the then outstanding Loans and L/C Obligations held by such Lender or the outstanding obligations payable to such provider of Banking Services bears to the aggregate then outstanding Loans and L/C Obligations and obligations payable under all Banking Services) of amounts available to be applied pursuant to </w:t>
      </w:r>
      <w:r>
        <w:rPr>
          <w:rFonts w:ascii="Times New Roman;Times;Serif" w:hAnsi="Times New Roman;Times;Serif"/>
          <w:b w:val="false"/>
          <w:i w:val="false"/>
          <w:caps w:val="false"/>
          <w:smallCaps w:val="false"/>
          <w:sz w:val="20"/>
          <w:u w:val="single"/>
        </w:rPr>
        <w:t>clauses</w:t>
      </w:r>
      <w:r>
        <w:rPr>
          <w:rFonts w:ascii="Times New Roman;Times;Serif" w:hAnsi="Times New Roman;Times;Serif"/>
          <w:b w:val="false"/>
          <w:i w:val="false"/>
          <w:caps w:val="false"/>
          <w:smallCaps w:val="false"/>
          <w:sz w:val="20"/>
        </w:rPr>
        <w:t xml:space="preserve"> “THIRD”, “FOURTH”, “FIFTH” and “SIXTH” above; and (c) to the extent that any amounts available for distribution pursuant to </w:t>
      </w:r>
      <w:r>
        <w:rPr>
          <w:rFonts w:ascii="Times New Roman;Times;Serif" w:hAnsi="Times New Roman;Times;Serif"/>
          <w:b w:val="false"/>
          <w:i w:val="false"/>
          <w:caps w:val="false"/>
          <w:smallCaps w:val="false"/>
          <w:sz w:val="20"/>
          <w:u w:val="single"/>
        </w:rPr>
        <w:t>clause</w:t>
      </w:r>
      <w:r>
        <w:rPr>
          <w:rFonts w:ascii="Times New Roman;Times;Serif" w:hAnsi="Times New Roman;Times;Serif"/>
          <w:b w:val="false"/>
          <w:i w:val="false"/>
          <w:caps w:val="false"/>
          <w:smallCaps w:val="false"/>
          <w:sz w:val="20"/>
        </w:rPr>
        <w:t xml:space="preserve"> “FIFTH” above are attributable to the issued but undrawn amount of outstanding Letters of Credit, such amounts shall be held by the Agent in a Cash Collateral account and applied (i) first, to reimburse the L/C Issuer from time to time for any drawings under such Letters of Credit and (ii) then, following the expiration of all Letters of Credit, to all other obligations of the types described in </w:t>
      </w:r>
      <w:r>
        <w:rPr>
          <w:rFonts w:ascii="Times New Roman;Times;Serif" w:hAnsi="Times New Roman;Times;Serif"/>
          <w:b w:val="false"/>
          <w:i w:val="false"/>
          <w:caps w:val="false"/>
          <w:smallCaps w:val="false"/>
          <w:sz w:val="20"/>
          <w:u w:val="single"/>
        </w:rPr>
        <w:t>clauses</w:t>
      </w:r>
      <w:r>
        <w:rPr>
          <w:rFonts w:ascii="Times New Roman;Times;Serif" w:hAnsi="Times New Roman;Times;Serif"/>
          <w:b w:val="false"/>
          <w:i w:val="false"/>
          <w:caps w:val="false"/>
          <w:smallCaps w:val="false"/>
          <w:sz w:val="20"/>
        </w:rPr>
        <w:t xml:space="preserve"> “FIFTH” and “SIXTH” above in the manner provided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Notwithstanding the foregoing terms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only payments under the Loan Guaranty (as opposed to ordinary course principal, interest and fee payments hereunder) shall be applied to obligations under any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trike/>
          <w:color w:val="FF0000"/>
          <w:sz w:val="20"/>
          <w:u w:val="single"/>
        </w:rPr>
        <w:t>Incremental</w:t>
      </w:r>
      <w:r>
        <w:rPr>
          <w:rFonts w:ascii="Times New Roman;Times;Serif" w:hAnsi="Times New Roman;Times;Serif"/>
          <w:b w:val="false"/>
          <w:i w:val="false"/>
          <w:caps w:val="false"/>
          <w:smallCaps w:val="false"/>
          <w:color w:val="0000FF"/>
          <w:sz w:val="20"/>
          <w:u w:val="single"/>
        </w:rPr>
        <w:t>Revolving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Facility </w:t>
      </w:r>
      <w:r>
        <w:rPr>
          <w:rFonts w:ascii="Times New Roman;Times;Serif" w:hAnsi="Times New Roman;Times;Serif"/>
          <w:b w:val="false"/>
          <w:i w:val="false"/>
          <w:caps w:val="false"/>
          <w:smallCaps w:val="false"/>
          <w:color w:val="0000FF"/>
          <w:sz w:val="20"/>
          <w:u w:val="single"/>
        </w:rPr>
        <w:t>Increases; Incremental Term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Revolving Facility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Terms</w:t>
      </w:r>
      <w:r>
        <w:rPr>
          <w:rFonts w:ascii="Times New Roman;Times;Serif" w:hAnsi="Times New Roman;Times;Serif"/>
          <w:b w:val="false"/>
          <w:i w:val="false"/>
          <w:caps w:val="false"/>
          <w:smallCaps w:val="false"/>
          <w:sz w:val="20"/>
        </w:rPr>
        <w:t xml:space="preserve">. Subject to the terms and conditions set forth herein,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shall have the right, at any time and from time to time until the date that is six months prior to the Maturity Date, to increase the Aggregate Commitment (each such increase, a “</w:t>
      </w:r>
      <w:r>
        <w:rPr>
          <w:rFonts w:ascii="Times New Roman;Times;Serif" w:hAnsi="Times New Roman;Times;Serif"/>
          <w:b w:val="false"/>
          <w:i w:val="false"/>
          <w:caps w:val="false"/>
          <w:smallCaps w:val="false"/>
          <w:sz w:val="20"/>
          <w:u w:val="single"/>
        </w:rPr>
        <w:t>Revolving Facility Increase</w:t>
      </w:r>
      <w:r>
        <w:rPr>
          <w:rFonts w:ascii="Times New Roman;Times;Serif" w:hAnsi="Times New Roman;Times;Serif"/>
          <w:b w:val="false"/>
          <w:i w:val="false"/>
          <w:caps w:val="false"/>
          <w:smallCaps w:val="false"/>
          <w:sz w:val="20"/>
        </w:rPr>
        <w:t xml:space="preserve">”) by an aggregate principal amount for all such Revolving Facility Increases after the </w:t>
      </w:r>
      <w:r>
        <w:rPr>
          <w:rFonts w:ascii="Times New Roman;Times;Serif" w:hAnsi="Times New Roman;Times;Serif"/>
          <w:b w:val="false"/>
          <w:i w:val="false"/>
          <w:caps w:val="false"/>
          <w:smallCaps w:val="false"/>
          <w:strike/>
          <w:color w:val="FF0000"/>
          <w:sz w:val="20"/>
        </w:rPr>
        <w:t>Eighth</w:t>
      </w:r>
      <w:r>
        <w:rPr>
          <w:rFonts w:ascii="Times New Roman;Times;Serif" w:hAnsi="Times New Roman;Times;Serif"/>
          <w:b w:val="false"/>
          <w:i w:val="false"/>
          <w:caps w:val="false"/>
          <w:smallCaps w:val="false"/>
          <w:color w:val="0000FF"/>
          <w:sz w:val="20"/>
          <w:u w:val="single"/>
        </w:rPr>
        <w:t>Tenth</w:t>
      </w:r>
      <w:r>
        <w:rPr>
          <w:rFonts w:ascii="Times New Roman;Times;Serif" w:hAnsi="Times New Roman;Times;Serif"/>
          <w:b w:val="false"/>
          <w:i w:val="false"/>
          <w:caps w:val="false"/>
          <w:smallCaps w:val="false"/>
          <w:sz w:val="20"/>
        </w:rPr>
        <w:t xml:space="preserve"> Amendment Effective Date that shall not exceed $200,000,000 (the “</w:t>
      </w:r>
      <w:r>
        <w:rPr>
          <w:rFonts w:ascii="Times New Roman;Times;Serif" w:hAnsi="Times New Roman;Times;Serif"/>
          <w:b w:val="false"/>
          <w:i w:val="false"/>
          <w:caps w:val="false"/>
          <w:smallCaps w:val="false"/>
          <w:sz w:val="20"/>
          <w:u w:val="single"/>
        </w:rPr>
        <w:t>Incremental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RCF </w:t>
      </w:r>
      <w:r>
        <w:rPr>
          <w:rFonts w:ascii="Times New Roman;Times;Serif" w:hAnsi="Times New Roman;Times;Serif"/>
          <w:b w:val="false"/>
          <w:i w:val="false"/>
          <w:caps w:val="false"/>
          <w:smallCaps w:val="false"/>
          <w:sz w:val="20"/>
          <w:u w:val="single"/>
        </w:rPr>
        <w:t>Increase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following terms and conditions shall apply to any Revolving Facility Increase: (A) no Unmatured Default or Default shall exist immediately prior to or after giving effect to such Revolving Facility Increase, (B) any loans made pursuant to a Revolving Facility Increase shall constitute Obligations and will be guaranteed with the other Obligations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(C) any Lenders providing such Revolving Facility Increase shall be entitled to the same voting rights as the existing Lenders and shall be entitled to receive proceeds of prepayments on the same terms as the existing Lenders, (D) any such Revolving Facility Increase shall be in a minimum principal amount of $10,000,000 and integral multiples of $5,000,000 in excess thereof (or the remaining amount of the Incremental </w:t>
      </w:r>
      <w:r>
        <w:rPr>
          <w:rFonts w:ascii="Times New Roman;Times;Serif" w:hAnsi="Times New Roman;Times;Serif"/>
          <w:b w:val="false"/>
          <w:i w:val="false"/>
          <w:caps w:val="false"/>
          <w:smallCaps w:val="false"/>
          <w:color w:val="0000FF"/>
          <w:sz w:val="20"/>
          <w:u w:val="single"/>
        </w:rPr>
        <w:t xml:space="preserve">RCF </w:t>
      </w:r>
      <w:r>
        <w:rPr>
          <w:rFonts w:ascii="Times New Roman;Times;Serif" w:hAnsi="Times New Roman;Times;Serif"/>
          <w:b w:val="false"/>
          <w:i w:val="false"/>
          <w:caps w:val="false"/>
          <w:smallCaps w:val="false"/>
          <w:sz w:val="20"/>
        </w:rPr>
        <w:t xml:space="preserve">Increase Amount, if less), (E) the proceeds of any such Revolving Facility Increase will be used for general corporate purposes (including acquisition financing), (F)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execute a Note in favor of any new Lender or any existing Lender whose Commitment is increased pursuant to this Section, in each case, if requested by such Lender, (G) the conditions to Advances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have been satisfied, (H) the Agent shall have received (1) upon request of the Agent, an opinion or opinions (including, if reasonably requested by the Agent, an in-house opinion or local counsel opinion with respect to certain Domestic Subsidiaries to be agreed upon) of counsel for the Loan Parties, addressed to the Agent and the Lenders, in form and substance reasonably acceptable to the Agent and substantially similar to the opinion delivered to the Agent on the Closing Date, (2) any authorizing corporate documents as the Agent may reasonably request and (3) if applicable, a duly executed Borrowing Notice and (I) the Agent shall have received from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updated financial projections and an officer’s certificate, in each case in form and substance reasonably satisfactory to the Agent, demonstrating that, after giving effect to any such Revolving Facility Increase on a pro forma basis,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be in compliance with the financial covenants set forth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Terms</w:t>
      </w:r>
      <w:r>
        <w:rPr>
          <w:rFonts w:ascii="Times New Roman;Times;Serif" w:hAnsi="Times New Roman;Times;Serif"/>
          <w:b w:val="false"/>
          <w:i w:val="false"/>
          <w:caps w:val="false"/>
          <w:smallCaps w:val="false"/>
          <w:sz w:val="20"/>
        </w:rPr>
        <w:t>. The terms, including, without limitation, the Applicable Margin, and any other components of yield applicable to the Revolving Facility Increase will be the same as those applicable to existing Loans and Commitments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Revolving Facility Increase</w:t>
      </w:r>
      <w:r>
        <w:rPr>
          <w:rFonts w:ascii="Times New Roman;Times;Serif" w:hAnsi="Times New Roman;Times;Serif"/>
          <w:b w:val="false"/>
          <w:i w:val="false"/>
          <w:caps w:val="false"/>
          <w:smallCaps w:val="false"/>
          <w:sz w:val="20"/>
        </w:rPr>
        <w:t xml:space="preserve">. In connection with the closing of any Revolving Facility Increase, the outstanding Loans and participations in Letters of Credit shall be reallocated by causing such fundings and repayments among the Lenders of Loans as necessary such that, after giving effect to such Revolving Facility Increase, each Lender will hold Loans and participations in Letters of Credit based on its Commitment (after giving effect to such Revolving Facility Increase);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val="false"/>
          <w:i w:val="false"/>
          <w:caps w:val="false"/>
          <w:smallCaps w:val="false"/>
          <w:color w:val="0000FF"/>
          <w:sz w:val="20"/>
          <w:u w:val="single"/>
        </w:rPr>
        <w:t>, to the extent any Revolving Facility Increase includes or increases Alternative Currency Commitments, Alternative Currency Loans and participations in Letters of Credit denominated in Alternative Currencies shall be reallocated only among the Alternative Currency Lenders based on their Alternative Currency Commitments and Alternative Currency Pro Rata Shares after giving effect to such Revolving Facility Increase, and no Lender that is not an Alternative Currency Lender shall be required to make, maintain, fund or acquire any interest in any Alternative Currency Loan or participation in any Letter of Credit denominated in an Alternative Currency; provided, further, that</w:t>
      </w:r>
      <w:r>
        <w:rPr>
          <w:rFonts w:ascii="Times New Roman;Times;Serif" w:hAnsi="Times New Roman;Times;Serif"/>
          <w:b w:val="false"/>
          <w:i w:val="false"/>
          <w:caps w:val="false"/>
          <w:smallCaps w:val="false"/>
          <w:sz w:val="20"/>
        </w:rPr>
        <w:t xml:space="preserve"> (i) such reallocations and repayments shall not be subject to any processing and/or recordation fees and (ii)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be responsible for any costs arising under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resulting from such reallocation and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xml:space="preserve">. Participation in any such Revolving Facility Increase may be offered to each of the existing Lenders, but no Lender shall have any obligation to provide all or any portion of any such Revolving Facility Increase.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may invite other banks, financial institutions and investment funds reasonably acceptable to the Agent (such consent not to be unreasonably withheld or delayed) to join this Agreement as Lenders hereunder for any portion of such Revolving Facility Increase;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other banks, financial institutions and investment funds shall enter into such lender joinder agreements to give effect thereto as the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Agent is authorized to enter into, on behalf of the Lenders, any amendment to this Agreement or any other Loan Document as may be necessary to incorporate the terms of any such Revolving Facility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General Terms. Subject to the terms and conditions set forth herein, the Borrower Representative shall have the right, at any time and from time to time until the date that is six months prior to the Maturity Date, to request one or more Incremental Term Loan Commitments to make Incremental Term Loans in an aggregate principal amount for all Incremental Term Loans that shall not exceed the Incremental Term Loan Cap. Each Incremental Term Loan Facility shall be in a minimum principal amount of $10,000,000 and integral multiples of $5,000,000 in excess thereof (or the remaining amount of the Incremental Term Loan Cap, if less). Any Incremental Term Loan Facility shall be separate from, and shall not increase or otherwise be part of, the Aggregate Commitment, any Commitment, any Alternative Currency Commitment, the Swingline Commitment, the Letter of Credit Sublimit or the Alternative Currency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Requests; Right of First Offer. Each request under this Section 2.24(II) shall be made by written notice from the Borrower Representative to the Agent and shall set forth the requested amount, requested Incremental Term Loan Effective Date, and proposed use of proceeds and proposed terms of the applicable Incremental Term Loan Facility. The Borrower Representative, in consultation with the Agent, shall first offer (in writing) each proposed Incremental Term Loan Facility to the existing Lenders under the Senior Credit Facility and shall specify the time period within which each such Lender is requested to respond, which shall be not less than fifteen (15) Business Days after delivery of such notice unless the Agent agrees to a shorter period. Each existing Lender may accept or decline such offer in its sole discretion and shall have no obligation to provide any Incremental Term Loan Commitment or Incremental Term Loan. Any Lender that does not respond within the applicable response period shall be deemed to have declined such offer. To the extent the requested amount is not fully committed by existing Lenders, the Borrower Representative may then, and only then, invite additional banks, financial institutions and investment funds that are reasonably acceptable to the Agent to provide the remaining portion of such Incremental Term Loan Facility, and each such Person shall become a Lender hereunder pursuant to documentation reasonably requested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Incremental Term Loan Effective Date and Allocations. The Agent and the Borrower Representative shall determine the Incremental Term Loan Effective Date and the final allocation of each Incremental Term Loan Facility, limited in the case of each Incremental Term Loan Lender to its own allocation thereof. The Agent shall promptly notify the Borrower Representative and the Incremental Term Loan Lenders of the final allocation and the Incremental Term Loan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Conditions to Effectiveness. Subject in all respects to Section 1.10 in connection with an Incremental Term Loan Facility used solely to finance a Limited Condition Transaction, each Incremental Term Loan Facility shall become effective on the applicable Incremental Term Loan Effective Date, subject to the following conditions: (i) no Payment Event of Default or Bankruptcy Event of Default shall exist immediately prior to or after giving effect to Incremental Term Loan Facility and the making of any initial Advances thereunder; (ii) [reserved]; (iii) the conditions to Advances in Section 4.3 shall have been satisfied or waived in accordance with the terms hereof; (iv) the Leverage Ratio shall not exceed a level set at 0.50:1.00 lower than the then-applicable maximum Leverage Ratio permitted by Section 6.19(b) (for the avoidance of doubt, as such level may be adjusted in connection with an exercise of the Leverage Ratio Financial Covenant Reset Option) immediately prior, and after giving pro forma effect, to the establishment of such Incremental Term Loan Facility, the incurrence of the related Incremental Term Loans and the use of proceeds thereof, as applicable; (v) the Loan Parties shall have executed and delivered the applicable Incremental Term Loan Amendment; and (vi) the Agent shall have received (w) upon request of the Agent, an opinion or opinions of counsel for the Loan Parties, addressed to the Agent and the Lenders, in form and substance reasonably acceptable to the Agent, (x) any authorizing corporate and similar documents as the Agent may reasonably request, (y) a duly executed Borrowing Notice and (z) such other customary documents and certificates as the Agent may reasonably request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Incremental Term Loan Terms. Each Incremental Term Loan Facility shall be denominated solely in Dollars and shall be unsecured (for the avoidance of doubt, shall not be secured, directly or indirectly, by any Lien on any Property of any Loan Party or any Subsidiary). Each Incremental Term Loan Facility shall constitute Obligations and shall be guaranteed by the Loan Guarantors, but shall rank either (x) </w:t>
      </w:r>
      <w:r>
        <w:rPr>
          <w:rFonts w:ascii="Times New Roman;Times;Serif" w:hAnsi="Times New Roman;Times;Serif"/>
          <w:b w:val="false"/>
          <w:i/>
          <w:caps w:val="false"/>
          <w:smallCaps w:val="false"/>
          <w:color w:val="0000FF"/>
          <w:sz w:val="20"/>
          <w:u w:val="single"/>
        </w:rPr>
        <w:t>pari passu</w:t>
      </w:r>
      <w:r>
        <w:rPr>
          <w:rFonts w:ascii="Times New Roman;Times;Serif" w:hAnsi="Times New Roman;Times;Serif"/>
          <w:b w:val="false"/>
          <w:i w:val="false"/>
          <w:caps w:val="false"/>
          <w:smallCaps w:val="false"/>
          <w:color w:val="0000FF"/>
          <w:sz w:val="20"/>
          <w:u w:val="single"/>
        </w:rPr>
        <w:t xml:space="preserve"> in right of payment with the Senior Credit Facility or (y) junior to, and subordinated in right of payment to, the Senior Credit Facility, in each case, on terms reasonably satisfactory to the Borrower Representative and the Agent. The maturity date of any Incremental Term Loan shall not be earlier than the latest scheduled maturity date of the Loans and Commitments under the Senior Credit Facility in effect on the applicable Incremental Term Loan Effective Date, and the Weighted Average Life to Maturity of any Incremental Term Loan shall not be shorter than the remaining Weighted Average Life to Maturity of the latest maturing then-outstanding Loans under the Senior Credit Facility. The amortization, repayment schedule, optional prepayment provisions, mandatory prepayment provisions, interest rate, Applicable Margin, fees and other pricing terms of each Incremental Term Loan Facility shall be as set forth in the applicable Incremental Term Loan Amendment, subject to the requirements of this Section 2.24(II); provided that, notwithstanding the foregoing, no Incremental Term Loan Facility shall contain or be subject to any More Restrictive Covenants (except to the extent such More Restrictive Covenants are also provided for the benefit of the Lenders hereunder). Except as otherwise provided in this Section 2.24(II)(f), all other terms and conditions applicable to any Incremental Term Loan Facility shall be consistent with the terms and conditions of the Senior Credit Facility or otherwise not more favorable to the Incremental Term Loan Lenders, taken as a whole, than the terms and conditions applicable to the Senior Credit Facility, except for terms applicable only to periods after the latest scheduled maturity date of the Loans and Commitments under the Senior Credit Facility in effect on the applicable Incremental Term Loan Effective Date or as otherwise reasonably satisfactory to the Agent and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Incremental Term Loan Amendments. Each Incremental Term Loan Facility shall be effected pursuant to an Incremental Term Loan Amendment executed by the Loan Parties, the Agent and the applicable Incremental Term Loan Lenders providing such Incremental Term Loan Facility, as applicable. Each Incremental Term Loan Amendment may, without the consent of any other Lender, effect such amendments to this Agreement and the other Loan Documents as may be necessary or appropriate, in the reasonable opinion of the Agent and the Borrower Representative, to effect the provisions of this Section 2.24(II); provided that no such Incremental Term Loan Amendment shall adversely affect the rights or duties of the L/C Issuer, the Swingline Lender or any Alternative Currency Lender in such capacity without such Person’s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Borrowing; Repayment; Prepayment. Incremental Term Loans shall be requested pursuant to a Borrowing Notice and funded on the applicable Incremental Term Loan Effective Date in accordance with Section 2.8, this Section 2.24(II) and the applicable Incremental Term Loan Amendment. Each Incremental Term Loan shall be repaid or amortized on the dates and in the amounts set forth in the applicable Incremental Term Loan Amendment, and shall be due and payable in full on the maturity date set forth in such Incremental Term Loan Amendment. Optional and mandatory prepayments of Incremental Term Loans, if any, shall be made solely as set forth in the applicable Incremental Term Loan Amendment, subject to the requirements of this Section 2.24(II). Once repaid or prepaid, Incremental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Evidence of Debt; Register; Assignments. The Agent shall record each Incremental Term Loan Commitment and each Incremental Term Loan on the Register, and each Incremental Term Loan Lender shall maintain accounts evidencing the Indebtedness of the Borrowers to such Incremental Term Loan Lender in accordance with Section 2.13. Upon request by any Incremental Term Loan Lender, the Borrowers shall execute and deliver a promissory note to such Incremental Term Loan Lender in form and substance reasonably satisfactory to such Incremental Term Loan Lender. Incremental Term Loans and Incremental Term Loan Commitments shall be assignable and participations therein may be sold in accordance with Article XII as a separate class of Loans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Use of Proceeds. The Borrowers shall use the proceeds of Incremental Term Loans solely to finance Permitted Acquisitions and similar Permitted Investments. No proceeds of any Incremental Term Loan may be used for any purpose other than the foregoing-described permitted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Term SOFR Conforming Changes</w:t>
      </w:r>
      <w:r>
        <w:rPr>
          <w:rFonts w:ascii="Times New Roman;Times;Serif" w:hAnsi="Times New Roman;Times;Serif"/>
          <w:b w:val="false"/>
          <w:i w:val="false"/>
          <w:caps w:val="false"/>
          <w:smallCaps w:val="false"/>
          <w:sz w:val="20"/>
        </w:rPr>
        <w:t xml:space="preserve">.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and the Lenders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2.26</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Joint and Several Liability. Notwithstanding anything herein or in any other Loan Document to the contrary, the Obligations of the Borrowers hereunder and under the other Loan Documents shall be joint and several, and each Borrower shall be liable for all Obligations of each other Borrower as a primary obligor and not merely as a surety. Each Borrower acknowledges that it will receive direct and indirect benefits from the availability of the credit facility and the making of Loans and issuance of Letters of Credit hereunder, and each Borrower agrees that the Agent, the L/C Issuer and the Lenders may enforce the Obligations against any Borrower without first proceeding against any other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and anything else herein to the contrary, the Agent shall not demand or accept payment from any UK Borrower (whether pursuant to this Section 2.26, Article XVI or otherwise) in respect of interest on any Obligation that is denominated in Dollars and owing to any Lender that is not an Alternative Currency Lender, except (i) following the occurrence and during the continuance of an Event of Default or (ii) if and to the extent that the Agent has first demanded such payment from the US Borrower, Holdings and the Domestic Loan Guarantors and such payment has not been received within fifteen (15) Business Days after such demand. In which case, a UK Borrower shall not be obliged to pay to any Lender that is not an Alternative Currency Lender an amount that is greater than the amount of interest due and outstanding by the relevant US Borrower, Holdings or the Domestic Loan Guarantors to such Lender. For the avoidance of doubt, this paragraph shall not (x) limit the joint and several liability of any UK Borrower for Alternative Currency Obligations or any other Obligations owing to Alternative Currency Lenders or (y) shall impair or diminish in any respect the Agent’s or any Lender’s rights against any UK Borrower following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YIELD PROTECTION;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Yield Protection</w:t>
      </w:r>
      <w:r>
        <w:rPr>
          <w:rFonts w:ascii="Times New Roman;Times;Serif" w:hAnsi="Times New Roman;Times;Serif"/>
          <w:b w:val="false"/>
          <w:i w:val="false"/>
          <w:caps w:val="false"/>
          <w:smallCaps w:val="false"/>
          <w:sz w:val="20"/>
        </w:rPr>
        <w:t>. If, on or after the Effective Date, any Change in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subjects any Lender or any applicable Lending Installation to any Taxes, or changes the basis of taxation of payments (other than with respect to Excluded Taxes) to any Lender in respect of its SOFR Advances,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imposes or increases or deems applicable any reserve, assessment, insurance charge, special deposit or similar requirement against assets of, deposits with or for the account of, or credit extended by, any Lender or any applicable Lending Installation (other than reserves and assessments taken into account in determining the interest rate applicable to SOFR Advances),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imposes any other condition the result of which is to increase the cost to any Lender or any applicable Lending Installation of making, funding or maintaining its SOFR Advances or reduces any amount receivable by any Lender or any applicable Lending Installation in connection with its SOFR Advances, or requires any Lender or any applicable Lending Installation to make any payment calculated by reference to the amount of SOFR Advances held or interest received by it, by an amount deemed material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(a) – (c) is to increase the cost to such Lender or applicable Lending Installation of making or maintaining its SOFR Advances or Commitment or to reduce the return received by such Lender or applicable Lending Installation in connection with such SOFR Advances or Commitment, then, promptly following written demand by such Lender,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pay such Lender such additional amount or amounts as will compensate such Lender for such increased cost or reduction in amount received. Failure or delay on the part of any Lender to demand compensation pursuant to this Section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not be required to compensate a Lender pursuant to this Section for any increased costs incurred or reductions suffered, as the case may be, to the extent that such Lender fails to make a demand for such compensation within six (6) months after becoming aware of such Change in Law giving </w:t>
      </w:r>
      <w:r>
        <w:rPr>
          <w:rFonts w:ascii="Times New Roman;Times;Serif" w:hAnsi="Times New Roman;Times;Serif"/>
          <w:b w:val="false"/>
          <w:i w:val="false"/>
          <w:caps w:val="false"/>
          <w:smallCaps w:val="false"/>
          <w:strike/>
          <w:color w:val="FF0000"/>
          <w:sz w:val="20"/>
        </w:rPr>
        <w:t>arise</w:t>
      </w:r>
      <w:r>
        <w:rPr>
          <w:rFonts w:ascii="Times New Roman;Times;Serif" w:hAnsi="Times New Roman;Times;Serif"/>
          <w:b w:val="false"/>
          <w:i w:val="false"/>
          <w:caps w:val="false"/>
          <w:smallCaps w:val="false"/>
          <w:color w:val="0000FF"/>
          <w:sz w:val="20"/>
          <w:u w:val="single"/>
        </w:rPr>
        <w:t>rise</w:t>
      </w:r>
      <w:r>
        <w:rPr>
          <w:rFonts w:ascii="Times New Roman;Times;Serif" w:hAnsi="Times New Roman;Times;Serif"/>
          <w:b w:val="false"/>
          <w:i w:val="false"/>
          <w:caps w:val="false"/>
          <w:smallCaps w:val="false"/>
          <w:sz w:val="20"/>
        </w:rPr>
        <w:t xml:space="preserve"> to such increased costs or reductions;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if the Change in Law giving rise to such increased costs or reductions is retroactive, then the six (6) 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Changes in Capital Adequacy Regulations</w:t>
      </w:r>
      <w:r>
        <w:rPr>
          <w:rFonts w:ascii="Times New Roman;Times;Serif" w:hAnsi="Times New Roman;Times;Serif"/>
          <w:b w:val="false"/>
          <w:i w:val="false"/>
          <w:caps w:val="false"/>
          <w:smallCaps w:val="false"/>
          <w:sz w:val="20"/>
        </w:rPr>
        <w:t xml:space="preserve">. If a Lender determines the amount of capital or liquidity required or expected to be maintained by such Lender, any Lending Installation of such Lender or any corporation controlling such Lender is increased as a result of a Change in Law, then, promptly following written demand by such Lender,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pay such Lender the amount necessary to compensate for any shortfall in the rate of return on the portion of such increased capital or liquidity which such Lender determines is attributable to this Agreement, its Loans or its Commitment to make Loans hereunder (after taking into account such Lender’s policies as to capital adequacy). Failure or delay on the part of any Lender to demand compensation pursuant to this Section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not be required to compensate a Lender pursuant to this Section for any increased costs incurred or reductions suffered, as the case may be, to the extent that such Lender fails to make a demand for such compensation within six (6) months after becoming aware of such Change in Law giving </w:t>
      </w:r>
      <w:r>
        <w:rPr>
          <w:rFonts w:ascii="Times New Roman;Times;Serif" w:hAnsi="Times New Roman;Times;Serif"/>
          <w:b w:val="false"/>
          <w:i w:val="false"/>
          <w:caps w:val="false"/>
          <w:smallCaps w:val="false"/>
          <w:strike/>
          <w:color w:val="FF0000"/>
          <w:sz w:val="20"/>
        </w:rPr>
        <w:t>arise</w:t>
      </w:r>
      <w:r>
        <w:rPr>
          <w:rFonts w:ascii="Times New Roman;Times;Serif" w:hAnsi="Times New Roman;Times;Serif"/>
          <w:b w:val="false"/>
          <w:i w:val="false"/>
          <w:caps w:val="false"/>
          <w:smallCaps w:val="false"/>
          <w:color w:val="0000FF"/>
          <w:sz w:val="20"/>
          <w:u w:val="single"/>
        </w:rPr>
        <w:t>rise</w:t>
      </w:r>
      <w:r>
        <w:rPr>
          <w:rFonts w:ascii="Times New Roman;Times;Serif" w:hAnsi="Times New Roman;Times;Serif"/>
          <w:b w:val="false"/>
          <w:i w:val="false"/>
          <w:caps w:val="false"/>
          <w:smallCaps w:val="false"/>
          <w:sz w:val="20"/>
        </w:rPr>
        <w:t xml:space="preserve"> to such increased costs or reductions;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if the Change in Law giving rise to such increased costs or reductions is retroactive, then the six (6) 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Funding Indemnification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hereby </w:t>
      </w:r>
      <w:r>
        <w:rPr>
          <w:rFonts w:ascii="Times New Roman;Times;Serif" w:hAnsi="Times New Roman;Times;Serif"/>
          <w:b w:val="false"/>
          <w:i w:val="false"/>
          <w:caps w:val="false"/>
          <w:smallCaps w:val="false"/>
          <w:strike/>
          <w:color w:val="FF0000"/>
          <w:sz w:val="20"/>
        </w:rPr>
        <w:t>indemnifies</w:t>
      </w:r>
      <w:r>
        <w:rPr>
          <w:rFonts w:ascii="Times New Roman;Times;Serif" w:hAnsi="Times New Roman;Times;Serif"/>
          <w:b w:val="false"/>
          <w:i w:val="false"/>
          <w:caps w:val="false"/>
          <w:smallCaps w:val="false"/>
          <w:color w:val="0000FF"/>
          <w:sz w:val="20"/>
          <w:u w:val="single"/>
        </w:rPr>
        <w:t>indemnify</w:t>
      </w:r>
      <w:r>
        <w:rPr>
          <w:rFonts w:ascii="Times New Roman;Times;Serif" w:hAnsi="Times New Roman;Times;Serif"/>
          <w:b w:val="false"/>
          <w:i w:val="false"/>
          <w:caps w:val="false"/>
          <w:smallCaps w:val="false"/>
          <w:sz w:val="20"/>
        </w:rPr>
        <w:t xml:space="preserve"> each of the Lenders against any loss, cost or expense (including any loss, cost or expense arising from the liquidation or reemployment of funds or from any fees payable) which may arise, be attributable to or result due to or as a consequence of (a) any failure by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to make any payment when due of any amount due hereunder in connection with a SOFR Advance </w:t>
      </w:r>
      <w:r>
        <w:rPr>
          <w:rFonts w:ascii="Times New Roman;Times;Serif" w:hAnsi="Times New Roman;Times;Serif"/>
          <w:b w:val="false"/>
          <w:i w:val="false"/>
          <w:caps w:val="false"/>
          <w:smallCaps w:val="false"/>
          <w:color w:val="0000FF"/>
          <w:sz w:val="20"/>
          <w:u w:val="single"/>
        </w:rPr>
        <w:t>or Alternative Currency RFR Advance</w:t>
      </w:r>
      <w:r>
        <w:rPr>
          <w:rFonts w:ascii="Times New Roman;Times;Serif" w:hAnsi="Times New Roman;Times;Serif"/>
          <w:b w:val="false"/>
          <w:i w:val="false"/>
          <w:caps w:val="false"/>
          <w:smallCaps w:val="false"/>
          <w:sz w:val="20"/>
        </w:rPr>
        <w:t xml:space="preserve">, (b) any failure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to borrow or continue a SOFR </w:t>
      </w:r>
      <w:r>
        <w:rPr>
          <w:rFonts w:ascii="Times New Roman;Times;Serif" w:hAnsi="Times New Roman;Times;Serif"/>
          <w:b w:val="false"/>
          <w:i w:val="false"/>
          <w:caps w:val="false"/>
          <w:smallCaps w:val="false"/>
          <w:color w:val="0000FF"/>
          <w:sz w:val="20"/>
          <w:u w:val="single"/>
        </w:rPr>
        <w:t xml:space="preserve">Advance or Alternative Currency RFR </w:t>
      </w:r>
      <w:r>
        <w:rPr>
          <w:rFonts w:ascii="Times New Roman;Times;Serif" w:hAnsi="Times New Roman;Times;Serif"/>
          <w:b w:val="false"/>
          <w:i w:val="false"/>
          <w:caps w:val="false"/>
          <w:smallCaps w:val="false"/>
          <w:sz w:val="20"/>
        </w:rPr>
        <w:t xml:space="preserve">Advance or convert to a SOFR Advance on a date specified therefor in a Borrowing Notice or Conversion/Continuation Notice, (c) any failure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to prepay any SOFR Advance </w:t>
      </w:r>
      <w:r>
        <w:rPr>
          <w:rFonts w:ascii="Times New Roman;Times;Serif" w:hAnsi="Times New Roman;Times;Serif"/>
          <w:b w:val="false"/>
          <w:i w:val="false"/>
          <w:caps w:val="false"/>
          <w:smallCaps w:val="false"/>
          <w:color w:val="0000FF"/>
          <w:sz w:val="20"/>
          <w:u w:val="single"/>
        </w:rPr>
        <w:t xml:space="preserve">or Alternative Currency RFR Advance </w:t>
      </w:r>
      <w:r>
        <w:rPr>
          <w:rFonts w:ascii="Times New Roman;Times;Serif" w:hAnsi="Times New Roman;Times;Serif"/>
          <w:b w:val="false"/>
          <w:i w:val="false"/>
          <w:caps w:val="false"/>
          <w:smallCaps w:val="false"/>
          <w:sz w:val="20"/>
        </w:rPr>
        <w:t xml:space="preserve">on a date specified therefor in any repayment notice, (d) any payment, prepayment or conversion of any </w:t>
      </w:r>
      <w:r>
        <w:rPr>
          <w:rFonts w:ascii="Times New Roman;Times;Serif" w:hAnsi="Times New Roman;Times;Serif"/>
          <w:b w:val="false"/>
          <w:i w:val="false"/>
          <w:caps w:val="false"/>
          <w:smallCaps w:val="false"/>
          <w:color w:val="0000FF"/>
          <w:sz w:val="20"/>
          <w:u w:val="single"/>
        </w:rPr>
        <w:t xml:space="preserve">Alternative Currency RFR Advance on a date other than an Interest Payment Date therefor or any </w:t>
      </w:r>
      <w:r>
        <w:rPr>
          <w:rFonts w:ascii="Times New Roman;Times;Serif" w:hAnsi="Times New Roman;Times;Serif"/>
          <w:b w:val="false"/>
          <w:i w:val="false"/>
          <w:caps w:val="false"/>
          <w:smallCaps w:val="false"/>
          <w:sz w:val="20"/>
        </w:rPr>
        <w:t xml:space="preserve">SOFR Advance on a date other than the last day of the Interest Period therefor (including as a result of an Event of Default) or (e) the assignment of any SOFR Advance </w:t>
      </w:r>
      <w:r>
        <w:rPr>
          <w:rFonts w:ascii="Times New Roman;Times;Serif" w:hAnsi="Times New Roman;Times;Serif"/>
          <w:b w:val="false"/>
          <w:i w:val="false"/>
          <w:caps w:val="false"/>
          <w:smallCaps w:val="false"/>
          <w:color w:val="0000FF"/>
          <w:sz w:val="20"/>
          <w:u w:val="single"/>
        </w:rPr>
        <w:t xml:space="preserve">or Alternative Currency RFR Advance </w:t>
      </w:r>
      <w:r>
        <w:rPr>
          <w:rFonts w:ascii="Times New Roman;Times;Serif" w:hAnsi="Times New Roman;Times;Serif"/>
          <w:b w:val="false"/>
          <w:i w:val="false"/>
          <w:caps w:val="false"/>
          <w:smallCaps w:val="false"/>
          <w:sz w:val="20"/>
        </w:rPr>
        <w:t xml:space="preserve">other than on the last day of the </w:t>
      </w:r>
      <w:r>
        <w:rPr>
          <w:rFonts w:ascii="Times New Roman;Times;Serif" w:hAnsi="Times New Roman;Times;Serif"/>
          <w:b w:val="false"/>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 xml:space="preserve">Interest Period </w:t>
      </w:r>
      <w:r>
        <w:rPr>
          <w:rFonts w:ascii="Times New Roman;Times;Serif" w:hAnsi="Times New Roman;Times;Serif"/>
          <w:b w:val="false"/>
          <w:i w:val="false"/>
          <w:caps w:val="false"/>
          <w:smallCaps w:val="false"/>
          <w:strike/>
          <w:color w:val="FF0000"/>
          <w:sz w:val="20"/>
        </w:rPr>
        <w:t>applicable thereto</w:t>
      </w:r>
      <w:r>
        <w:rPr>
          <w:rFonts w:ascii="Times New Roman;Times;Serif" w:hAnsi="Times New Roman;Times;Serif"/>
          <w:b w:val="false"/>
          <w:i w:val="false"/>
          <w:caps w:val="false"/>
          <w:smallCaps w:val="false"/>
          <w:color w:val="0000FF"/>
          <w:sz w:val="20"/>
          <w:u w:val="single"/>
        </w:rPr>
        <w:t>(or, in the case of an Alternative Currency RFR Advance, other than on an Interest Payment Date)</w:t>
      </w:r>
      <w:r>
        <w:rPr>
          <w:rFonts w:ascii="Times New Roman;Times;Serif" w:hAnsi="Times New Roman;Times;Serif"/>
          <w:b w:val="false"/>
          <w:i w:val="false"/>
          <w:caps w:val="false"/>
          <w:smallCaps w:val="false"/>
          <w:sz w:val="20"/>
        </w:rPr>
        <w:t xml:space="preserve"> as a result of a request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2.20(b)</w:t>
      </w:r>
      <w:r>
        <w:rPr>
          <w:rFonts w:ascii="Times New Roman;Times;Serif" w:hAnsi="Times New Roman;Times;Serif"/>
          <w:b w:val="false"/>
          <w:i w:val="false"/>
          <w:caps w:val="false"/>
          <w:smallCaps w:val="false"/>
          <w:sz w:val="20"/>
        </w:rPr>
        <w:t xml:space="preserve">. A certificate of such Lender setting forth the basis for determining such amount or amounts necessary to compensate such Lender shall be forwarded to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through the Agent and shall be conclusively presumed to be correct save for manifest error. All of the obligations of the Loan Parties under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shall survive the resignation or replacement of the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Withholding Taxes; Gross-Up; Payments Free of Taxes</w:t>
      </w:r>
      <w:r>
        <w:rPr>
          <w:rFonts w:ascii="Times New Roman;Times;Serif" w:hAnsi="Times New Roman;Times;Serif"/>
          <w:b w:val="false"/>
          <w:i w:val="false"/>
          <w:caps w:val="false"/>
          <w:smallCaps w:val="false"/>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 xml:space="preserve">Payment of Other Taxes by the </w:t>
      </w:r>
      <w:r>
        <w:rPr>
          <w:rFonts w:ascii="Times New Roman;Times;Serif" w:hAnsi="Times New Roman;Times;Serif"/>
          <w:b w:val="false"/>
          <w:i w:val="false"/>
          <w:caps w:val="false"/>
          <w:smallCaps w:val="false"/>
          <w:strike/>
          <w:color w:val="FF0000"/>
          <w:sz w:val="20"/>
          <w:u w:val="single"/>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timely pay to the relevant Governmental Authority in accordance with applicable law, or at the option of the Agent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w:t>
      </w:r>
      <w:r>
        <w:rPr>
          <w:rFonts w:ascii="Times New Roman;Times;Serif" w:hAnsi="Times New Roman;Times;Serif"/>
          <w:b w:val="false"/>
          <w:i w:val="false"/>
          <w:caps w:val="false"/>
          <w:smallCaps w:val="false"/>
          <w:sz w:val="20"/>
        </w:rPr>
        <w:t xml:space="preserve">. As soon as practicable after any payment of Taxes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a Governmental Authority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shall deliver to the Agent the original or a certified copy of a receipt issued by such Governmental Authority evidencing such payment, a copy of the return reporting such payment, or other evidence of such payment reasonably satisfactory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 xml:space="preserve">Indemnification by the </w:t>
      </w:r>
      <w:r>
        <w:rPr>
          <w:rFonts w:ascii="Times New Roman;Times;Serif" w:hAnsi="Times New Roman;Times;Serif"/>
          <w:b w:val="false"/>
          <w:i w:val="false"/>
          <w:caps w:val="false"/>
          <w:smallCaps w:val="false"/>
          <w:strike/>
          <w:color w:val="FF0000"/>
          <w:sz w:val="20"/>
          <w:u w:val="single"/>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w:t>
      </w:r>
      <w:r>
        <w:rPr>
          <w:rFonts w:ascii="Times New Roman;Times;Serif" w:hAnsi="Times New Roman;Times;Serif"/>
          <w:b w:val="false"/>
          <w:i w:val="false"/>
          <w:caps w:val="false"/>
          <w:smallCaps w:val="false"/>
          <w:color w:val="0000FF"/>
          <w:sz w:val="20"/>
          <w:u w:val="single"/>
        </w:rPr>
        <w:t>, jointly and severally,</w:t>
      </w:r>
      <w:r>
        <w:rPr>
          <w:rFonts w:ascii="Times New Roman;Times;Serif" w:hAnsi="Times New Roman;Times;Serif"/>
          <w:b w:val="false"/>
          <w:i w:val="false"/>
          <w:caps w:val="false"/>
          <w:smallCaps w:val="false"/>
          <w:sz w:val="20"/>
        </w:rPr>
        <w:t xml:space="preserve"> indemnify each Recipient, promptly (but in no event later than thirty (30) days) following written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by a Lender (with a copy to the Agent), or by the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Agent, within ten (10) days after demand therefor, for (i) any Indemnified Taxes attributable to such Lender (but only to the extent that the </w:t>
      </w:r>
      <w:r>
        <w:rPr>
          <w:rFonts w:ascii="Times New Roman;Times;Serif" w:hAnsi="Times New Roman;Times;Serif"/>
          <w:b w:val="false"/>
          <w:i w:val="false"/>
          <w:caps w:val="false"/>
          <w:smallCaps w:val="false"/>
          <w:strike/>
          <w:color w:val="FF0000"/>
          <w:sz w:val="20"/>
        </w:rPr>
        <w:t>Borrower has</w:t>
      </w:r>
      <w:r>
        <w:rPr>
          <w:rFonts w:ascii="Times New Roman;Times;Serif" w:hAnsi="Times New Roman;Times;Serif"/>
          <w:b w:val="false"/>
          <w:i w:val="false"/>
          <w:caps w:val="false"/>
          <w:smallCaps w:val="false"/>
          <w:color w:val="0000FF"/>
          <w:sz w:val="20"/>
          <w:u w:val="single"/>
        </w:rPr>
        <w:t>Borrowers have</w:t>
      </w:r>
      <w:r>
        <w:rPr>
          <w:rFonts w:ascii="Times New Roman;Times;Serif" w:hAnsi="Times New Roman;Times;Serif"/>
          <w:b w:val="false"/>
          <w:i w:val="false"/>
          <w:caps w:val="false"/>
          <w:smallCaps w:val="false"/>
          <w:sz w:val="20"/>
        </w:rPr>
        <w:t xml:space="preserve"> not already indemnified the Agent for such Indemnified Taxes and without limiting the obligation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do so), (ii) any Taxes attributable to such Lender’s failure to comply with the provisions of this Agreement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such Lender from any other source against any amount due to the Agent under this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w:t>
      </w:r>
      <w:r>
        <w:rPr>
          <w:rFonts w:ascii="Times New Roman;Times;Serif" w:hAnsi="Times New Roman;Times;Serif"/>
          <w:b w:val="false"/>
          <w:i w:val="false"/>
          <w:caps w:val="false"/>
          <w:smallCaps w:val="false"/>
          <w:color w:val="0000FF"/>
          <w:sz w:val="20"/>
          <w:u w:val="single"/>
        </w:rPr>
        <w:t>, including any Alternative Currency Lender,</w:t>
      </w:r>
      <w:r>
        <w:rPr>
          <w:rFonts w:ascii="Times New Roman;Times;Serif" w:hAnsi="Times New Roman;Times;Serif"/>
          <w:b w:val="false"/>
          <w:i w:val="false"/>
          <w:caps w:val="false"/>
          <w:smallCaps w:val="false"/>
          <w:sz w:val="20"/>
        </w:rPr>
        <w:t xml:space="preserve"> that is entitled to an exemption from or reduction of withholding Tax with respect to payments made under any Loan Document shall deliver to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and the Agent, at the time or times reasonably requested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or the Agent, such properly completed and executed documentation reasonably requested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or the Agent as will permit such payments to be made without withholding or at a reduced rate of withholding. In </w:t>
      </w:r>
      <w:r>
        <w:rPr>
          <w:rFonts w:ascii="Times New Roman;Times;Serif" w:hAnsi="Times New Roman;Times;Serif"/>
          <w:b w:val="false"/>
          <w:i w:val="false"/>
          <w:caps w:val="false"/>
          <w:smallCaps w:val="false"/>
          <w:color w:val="0000FF"/>
          <w:sz w:val="20"/>
          <w:u w:val="single"/>
        </w:rPr>
        <w:t xml:space="preserve">the case of payments by or on account of any obligation of an Alternative Currency Borrower to any Alternative Currency Lender, such Alternative Currency Lender shall, to the extent it is legally entitled to do so, deliver such forms, certificates, confirmations, applications or other documentation prescribed by applicable law or reasonably requested by the Borrower Representative or the Agent to permit such payments to be made without withholding or deduction, or with withholding or deduction at a reduced rate, under applicable law or any applicable income tax treaty. In </w:t>
      </w:r>
      <w:r>
        <w:rPr>
          <w:rFonts w:ascii="Times New Roman;Times;Serif" w:hAnsi="Times New Roman;Times;Serif"/>
          <w:b w:val="false"/>
          <w:i w:val="false"/>
          <w:caps w:val="false"/>
          <w:smallCaps w:val="false"/>
          <w:sz w:val="20"/>
        </w:rPr>
        <w:t xml:space="preserve">addition, any Lender, if reasonably requested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or the Agent, shall deliver such other documentation prescribed by applicable law or reasonably requested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or the Agent as will enable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or the Agent to determine whether or not such Lender is subject to backup withholding or information reporting requirements. Notwithstanding anything to the contrary in the preceding </w:t>
      </w:r>
      <w:r>
        <w:rPr>
          <w:rFonts w:ascii="Times New Roman;Times;Serif" w:hAnsi="Times New Roman;Times;Serif"/>
          <w:b w:val="false"/>
          <w:i w:val="false"/>
          <w:caps w:val="false"/>
          <w:smallCaps w:val="false"/>
          <w:strike/>
          <w:color w:val="FF0000"/>
          <w:sz w:val="20"/>
        </w:rPr>
        <w:t xml:space="preserve">two </w:t>
      </w:r>
      <w:r>
        <w:rPr>
          <w:rFonts w:ascii="Times New Roman;Times;Serif" w:hAnsi="Times New Roman;Times;Serif"/>
          <w:b w:val="false"/>
          <w:i w:val="false"/>
          <w:caps w:val="false"/>
          <w:smallCaps w:val="false"/>
          <w:sz w:val="20"/>
        </w:rPr>
        <w:t xml:space="preserve">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3.5(f)(ii)(A)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the foregoing, in the event that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is a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Lender that is a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Person shall deliver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on or prior to the date on which such Lender becomes a Lender under this Agreement (and from time to time thereafter upon the reasonable request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executed originals of IRS Form W-9 certifying that such Lender is exempt from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Foreign Lender shall, to the extent it is legally entitled to do so, deliver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(in such number of copies as shall be requested by the recipient) on or prior to the date on which such Foreign Lender becomes a Lender under this Agreement (and from time to time thereafter upon the reasonable request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Foreign Lender claiming the benefits of an income tax treaty to which the United States is a party (x) with respect to payments of interest under any Loan Document, executed originals of IRS Form W-8BEN establishing an exemption from, or reduction of,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federal withholding Tax pursuant to the “interest” article of such tax treaty and (y) with respect to any other applicable payments under any Loan Document, IRS Form W-8BEN establishing an exemption from, or reduction of,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executed originals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a Foreign Lender claiming the benefits of the exemption for portfolio interest under Section 881(c) of the Code, (x) a certificate, in a form reasonably satisfactory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to the effect that such Foreign Lender is not a “bank” within the meaning of Section 881(c)(3)(A) of the Code, a “10 percent shareholder”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within the meaning of Section 881(c)(3)(B) of the Code, or a “controlled foreign corporation” described in Section 881(c)(3)(C) of the Code and (y) executed originals of IRS Form W-8BEN;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 Foreign Lender is not the beneficial owner, executed originals of IRS Form W-8IMY, accompanied by IRS Form W-8ECI, IRS Form W-8BEN, IRS Form W-9, and/or other certification documents from each beneficial owner,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Foreign Lender shall, to the extent it is legally entitled to do so, deliver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(in such number of copies as shall be requested by the recipient) on or prior to the date on which such Foreign Lender becomes a Lender under this Agreement (and from time to time thereafter upon the reasonable request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executed originals of any other form prescribed by applicable law as a basis for claiming exemption from or a reduction in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federal withholding Tax, duly completed, together with such supplementary documentation as may be prescribed by applicable law to permit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payment made to a Lender under any Loan Document would be subject to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Federal withholding Tax imposed by FATCA if such Lender were to fail to comply with the applicable reporting requirements of FATCA (including those contained in Section 1471(b) or 1472(b) of the Code, as applicable), such Lender shall deliver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at the time or times prescribed by law and at such time or times reasonably requested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such documentation prescribed by applicable law (including as prescribed by Section 1471(b)(3)(C)(i) of the Code) and such additional documentation reasonably requested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as may be necessary for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“FATCA” shall include any amendments made to FATCA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Each Lender agrees that if any form or certification it previously delivered expires or becomes obsolete or inaccurate in any respect, it shall update such form or certification or promptly notify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in the event that such indemnified party is required to repay such refund to such Governmental Authority. Notwithstanding anything herein to the contrary in this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UK Tax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UK Tax Deduction on a payment made by a UK Borrower under any Loan Document shall be regarded as an Excluded Tax if on the date on which the relevant payment falls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payment could have been made to the relevant Lender without the UK Tax Deduction if such Lender had been a UK Qualifying Lender but on that date that Lender is not or has ceased to be a UK Qualifying Lender other than as a result of any change after the date it became a Lender under the relevant Loan Document in (or in the interpretation, administration, or application of) any law or UK Treaty or any published practice or concession of any relevant Tax authority) (a “Relevant Change in Law”); and for the avoidance of doubt a UK Tax Deduction that arises as a result of a Relevant Change of Law shall not be an Excluded Tax;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relevant Lender is a UK Qualifying Lender solely by virtue of paragraph (a)(ii) of the definition of UK Qualifying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 an officer of H.M. Revenue &amp; Customs has given (and not revoked) a direction (a “Direction”) under section 931 of the ITA which relates to the payment and that Lender has received from the UK Borrower making the payment a certified copy of that Direction;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 the payment could have been made to the Lender without the UK Tax Deduction if that Direction had not been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relevant Lender is a UK Qualifying Lender solely by virtue of paragraph (a)(ii) of the definition of UK Qualifying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 the relevant Lender has not given a UK Tax Confirmation to the relevant UK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 the payment could have been made to the Lender without the UK Tax Deduction if the Lender had given a UK Tax Confirmation to the relevant UK Borrower, on the basis that the UK Tax Confirmation would have enabled the relevant UK Borrower to have formed a reasonable belief that the payment was an “excepted payment” for the purpose of section 930 of the ITA;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relevant Lender is a UK Treaty Lender and the UK Borrower making the payment is able to demonstrate that the payment could have been made to the Lender without the UK Tax Deduction had that Lender duly complied with its obligations under Section 3.5(h)(ii) and/or Section 3.5(h)(iii);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UK Tax Deduction arises in circumstances where the relevant Lender is a UK Treaty Lender as a result of ceasing to be a QPP Lender, and the Lender has not confirmed its HM Revenue &amp; Customs’ DT Treaty Passport scheme reference number and jurisdiction of tax residence to the UK Borrowers at least five (5) Business Days before the payment of interest is due to the relevant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Subject to paragraph (iii) below, a UK Treaty Lender and the UK Borrower shall co-operate in completing any procedural formalities necessary for that UK Borrower to obtain authorization to make that payment without any UK Tax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UK Treaty Lender which becomes a party hereto (x) on the day on which the relevant Loan Document is entered into or (y) on a day after the date of this Agreement, that holds a passport under the HM Revenue &amp; Customs’ DT Treaty Passport scheme at that time, and which wishes that scheme to apply to that Loan Document, shall confirm its scheme reference number and its jurisdiction of tax residence, in the case of a UK Treaty Lender falling within (x) above, in this Agreement or in writing to the UK Borrower and the Agent within ten (10) Business Days of the date of this Agreement or, in the case of a UK Treaty Lender falling within (y) above, in writing to the UK Borrower and the Agent within ten (10) Business Days of the date on which it becomes a Lender under any Loan Document. A UK Treaty Lender that does not fall within (x) or (y) above but which subsequently obtains a passport under the HM Revenue &amp; Customs’ DT Treaty Passport scheme shall confirm its scheme reference number and its jurisdiction of tax residence in writing to the UK Borrower and the Agent within five (5) Business Days of obtaining the passport. Where the UK Treaty Lender has supplied its HM Revenue &amp; Customs’ DT Treaty Passport scheme reference number and its jurisdiction of tax residence pursuant to the aforementioned sentences: (a) the relevant UK Borrower shall take all steps necessary to promptly file a completed HM Revenue &amp; Customs’ Form DTTP2 in respect of that UK Treaty Lender; and (b) the relevant UK Treaty Lender shall be under no further obligation pursuant to Section 3.5(h)(ii) and this Section 3.5(h)(iii) unless and until (i) the relevant UK Borrower notifies the relevant UK Treaty Lender in writing that (A) the UK Borrower’s HM Revenue &amp; Customs’ Form DTTP2 has been rejected by HM Revenue &amp; Customs; or (B) HM Revenue &amp; Customs has not given the relevant UK Borrower authority to make payment to that UK Treaty Lender without a UK Tax Deduction within 60 days of the date of the UK Borrower submitting the HM Revenue &amp; Customs’ Form DTTP2; or (ii) the relevant UK Borrower had received authority from HM Revenue &amp; Customs to make payments to such Lender without a UK Tax Deduction as a result of submitting a Form DTTP2, but the UK Borrower has been notified by HM Revenue &amp; Customs of a withdrawal or expiry of that authority such that it is no longer possible for the UK Borrower to make payments to the Lender without a UK Tax Deduction by virtue of that authority, in which case that party shall notify the other relevant party, and (in each such case) that UK Treaty Lender and UK Borrower shall co-operate in completing any additional procedural formalities necessary for that UK Borrower to obtain authorization to make that payment without a UK Tax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If a UK Treaty Lender has not confirmed its HM Revenue &amp; Customs’ DT Treaty Passport scheme reference number and jurisdiction of tax residence in accordance with paragraph (iii) above, no UK Borrower shall file a Form DTTP2 or file any other form relating to the HM Revenue &amp; Customs’ DT Treaty Passport scheme in respect of that UK Treaty Lender or its advance pursuant to any Loan Document unless the UK Treaty Lender agrees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Where relevant and in respect of a UK Borrower only, a Lender which becomes a party to a Loan Document after the date of this Agreement shall confirm in the documentation it executes on becoming a party hereto, and for the benefit of the Agent and without any liability to any Loan Party, which of the following categories it falls in for the purposes of its advance pursuant to the relevant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not a UK Qualifying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UK Qualifying Lender (other than a UK Treaty Lender or a QPP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UK Treaty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QPP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If a Lender which becomes a party to a Loan Document after the date of this Agreement in respect of an advance to a UK Borrower fails to indicate its status pursuant to this paragraph (iv), then such Lender shall be treated for the purposes of the relevant Loan Document (including by each UK Borrower) as if it is not a UK Qualifying Lender until such time as it notifies the Agent which category applies (and the Agent, upon receipt of such notification, shall promptly inform the UK Borrower). For the avoidance of doubt, any document pursuant to which a Lender becomes party to the relevant Loan Document shall not be invalidated by any failure of a Lender to comply with this paragraph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(vi)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In the case of any Lender which is relying (or intending to rely) on the QPP Regime and/or the application of the QPP Regime: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on becoming a Lender under a Loan Document (and before any payment of interest is due or paid) that Lender (and/or, as the case may be, each person beneficially entitled to any interest payable to that Lender under the relevant Loan Document) shall provide to the UK Borrower or the Agent a QPP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that Lender shall as soon as reasonably practicable notify the Agent or the UK Borrower upon becoming aware that the QPP Certificate delivered pursuant to subclause (A) above is not (or ceases to be)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that Lender shall as soon as reasonably practicable (and in any event before any unpaid amount of interest is paid) notify the Agent or the UK Borrower of any Cancelled Certificate or Withdrawn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if a Borrower receives a notification from HM Revenue &amp; Customs that a QPP Certificate given by a Lender has become a Cancelled Certificate, the Borrower shall promptly deliver a copy of that notification to that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(vii)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UK Non-Bank Lender shall promptly notify the UK Borrowers and the Agent if there is any change in the position from that set out in the UK Tax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VAT.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All amounts expressed to be payable under a Loan Document by any party to a Lender which (in whole or in part) constitute the consideration for any supply for VAT purposes are deemed to be exclusive of any VAT which is chargeable on that supply, and accordingly, subject to paragraph (ii) below, if VAT is or becomes chargeable on any supply made by any Lender to any party under a Loan Document and such Lender is required to account to the relevant tax authority for the VAT, that party must pay to such Lender (in addition to and at the same time as paying any other consideration for such supply) an amount equal to the amount of that VAT (and such Lender must promptly provide an appropriate VAT invoice to that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If VAT is or becomes chargeable on any supply made by any Lender (the "Supplier") to any other Lender (the "Recipient") under a Loan Document, and any party other than the Recipient (the "Relevant Party") is required by the terms of the Loan Document to pay an amount equal to the consideration for that supply to the Supplier (rather than being required to reimburse or indemnify the Recipient in respect of that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(A) applies) promptly pay to the Relevant Party an amount equal to any credit or repayment the Recipient receives from the relevant tax authority which the Recipient reasonably determines relates to the VAT chargeable on that supply;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Where a Loan Document requires any party to reimburse or indemnify a Lender for any cost or expense, that party shall reimburse or indemnify (as the case may be) such Lender for the full amount of such cost or expense, including such part thereof as represents VAT, save to the extent that such Lender reasonably determines that it is entitled to credit or repayment in respect of such VAT from the relevant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Any reference in this Section 3.10(i) to any party shall, at any time when such party is treated as a member of a group for VAT purposes, include (where appropriate and unless the context otherwise requires) a reference to the representative member of such group at such time (the term "representative member" to have the meaning in the relevant VAT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In relation to any supply made by a Lender to any party under a Loan Document, if reasonably requested by such Lender, that party must promptly provide such Lender with details of that party's VAT registration and such other information as is reasonably requested in connection with such Lender's VAT reporting requirements in relation to such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color w:val="0000FF"/>
          <w:sz w:val="20"/>
          <w:u w:val="single"/>
        </w:rPr>
        <w:t>(j)</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survive the resignation or replacement of the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Changed Circumstances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Circumstances Affecting Benchmark Availability</w:t>
      </w:r>
      <w:r>
        <w:rPr>
          <w:rFonts w:ascii="Times New Roman;Times;Serif" w:hAnsi="Times New Roman;Times;Serif"/>
          <w:b w:val="false"/>
          <w:i w:val="false"/>
          <w:caps w:val="false"/>
          <w:smallCaps w:val="false"/>
          <w:sz w:val="20"/>
        </w:rPr>
        <w:t xml:space="preserve">. Subject to clause (c) below, in connection with any request for a SOFR </w:t>
      </w:r>
      <w:r>
        <w:rPr>
          <w:rFonts w:ascii="Times New Roman;Times;Serif" w:hAnsi="Times New Roman;Times;Serif"/>
          <w:b w:val="false"/>
          <w:i w:val="false"/>
          <w:caps w:val="false"/>
          <w:smallCaps w:val="false"/>
          <w:color w:val="0000FF"/>
          <w:sz w:val="20"/>
          <w:u w:val="single"/>
        </w:rPr>
        <w:t xml:space="preserve">Advance or Alternative Currency RFR </w:t>
      </w:r>
      <w:r>
        <w:rPr>
          <w:rFonts w:ascii="Times New Roman;Times;Serif" w:hAnsi="Times New Roman;Times;Serif"/>
          <w:b w:val="false"/>
          <w:i w:val="false"/>
          <w:caps w:val="false"/>
          <w:smallCaps w:val="false"/>
          <w:sz w:val="20"/>
        </w:rPr>
        <w:t xml:space="preserve">Advance or a conversion to or continuation thereof or otherwise, if for any reason (i) the Agent shall determine (which determination shall be conclusive and binding absent manifest error) that reasonable and adequate means do not exist for ascertaining </w:t>
      </w:r>
      <w:r>
        <w:rPr>
          <w:rFonts w:ascii="Times New Roman;Times;Serif" w:hAnsi="Times New Roman;Times;Serif"/>
          <w:b w:val="false"/>
          <w:i w:val="false"/>
          <w:caps w:val="false"/>
          <w:smallCaps w:val="false"/>
          <w:strike/>
          <w:color w:val="FF0000"/>
          <w:sz w:val="20"/>
        </w:rPr>
        <w:t>Adjusted Term SOFR</w:t>
      </w:r>
      <w:r>
        <w:rPr>
          <w:rFonts w:ascii="Times New Roman;Times;Serif" w:hAnsi="Times New Roman;Times;Serif"/>
          <w:b w:val="false"/>
          <w:i w:val="false"/>
          <w:caps w:val="false"/>
          <w:smallCaps w:val="false"/>
          <w:color w:val="0000FF"/>
          <w:sz w:val="20"/>
          <w:u w:val="single"/>
        </w:rPr>
        <w:t>the applicable Benchmark</w:t>
      </w:r>
      <w:r>
        <w:rPr>
          <w:rFonts w:ascii="Times New Roman;Times;Serif" w:hAnsi="Times New Roman;Times;Serif"/>
          <w:b w:val="false"/>
          <w:i w:val="false"/>
          <w:caps w:val="false"/>
          <w:smallCaps w:val="false"/>
          <w:sz w:val="20"/>
        </w:rPr>
        <w:t xml:space="preserve"> for the applicable Interest Period </w:t>
      </w:r>
      <w:r>
        <w:rPr>
          <w:rFonts w:ascii="Times New Roman;Times;Serif" w:hAnsi="Times New Roman;Times;Serif"/>
          <w:b w:val="false"/>
          <w:i w:val="false"/>
          <w:caps w:val="false"/>
          <w:smallCaps w:val="false"/>
          <w:color w:val="0000FF"/>
          <w:sz w:val="20"/>
          <w:u w:val="single"/>
        </w:rPr>
        <w:t xml:space="preserve">or other interest period </w:t>
      </w:r>
      <w:r>
        <w:rPr>
          <w:rFonts w:ascii="Times New Roman;Times;Serif" w:hAnsi="Times New Roman;Times;Serif"/>
          <w:b w:val="false"/>
          <w:i w:val="false"/>
          <w:caps w:val="false"/>
          <w:smallCaps w:val="false"/>
          <w:sz w:val="20"/>
        </w:rPr>
        <w:t xml:space="preserve">with respect to a proposed SOFR Advance </w:t>
      </w:r>
      <w:r>
        <w:rPr>
          <w:rFonts w:ascii="Times New Roman;Times;Serif" w:hAnsi="Times New Roman;Times;Serif"/>
          <w:b w:val="false"/>
          <w:i w:val="false"/>
          <w:caps w:val="false"/>
          <w:smallCaps w:val="false"/>
          <w:color w:val="0000FF"/>
          <w:sz w:val="20"/>
          <w:u w:val="single"/>
        </w:rPr>
        <w:t>or Alternative Currency RFR Advance</w:t>
      </w:r>
      <w:r>
        <w:rPr>
          <w:rFonts w:ascii="Times New Roman;Times;Serif" w:hAnsi="Times New Roman;Times;Serif"/>
          <w:b w:val="false"/>
          <w:i w:val="false"/>
          <w:caps w:val="false"/>
          <w:smallCaps w:val="false"/>
          <w:sz w:val="20"/>
        </w:rPr>
        <w:t xml:space="preserve"> on or prior to the first day of such Interest Period or </w:t>
      </w:r>
      <w:r>
        <w:rPr>
          <w:rFonts w:ascii="Times New Roman;Times;Serif" w:hAnsi="Times New Roman;Times;Serif"/>
          <w:b w:val="false"/>
          <w:i w:val="false"/>
          <w:caps w:val="false"/>
          <w:smallCaps w:val="false"/>
          <w:color w:val="0000FF"/>
          <w:sz w:val="20"/>
          <w:u w:val="single"/>
        </w:rPr>
        <w:t xml:space="preserve">other interest period or </w:t>
      </w:r>
      <w:r>
        <w:rPr>
          <w:rFonts w:ascii="Times New Roman;Times;Serif" w:hAnsi="Times New Roman;Times;Serif"/>
          <w:b w:val="false"/>
          <w:i w:val="false"/>
          <w:caps w:val="false"/>
          <w:smallCaps w:val="false"/>
          <w:sz w:val="20"/>
        </w:rPr>
        <w:t>(ii) the Required Lenders</w:t>
      </w:r>
      <w:r>
        <w:rPr>
          <w:rFonts w:ascii="Times New Roman;Times;Serif" w:hAnsi="Times New Roman;Times;Serif"/>
          <w:b w:val="false"/>
          <w:i w:val="false"/>
          <w:caps w:val="false"/>
          <w:smallCaps w:val="false"/>
          <w:color w:val="0000FF"/>
          <w:sz w:val="20"/>
          <w:u w:val="single"/>
        </w:rPr>
        <w:t>, with respect to SOFR Advances, or the Required Alternative Currency Lenders, with respect to Alternative Currency RFR Advances,</w:t>
      </w:r>
      <w:r>
        <w:rPr>
          <w:rFonts w:ascii="Times New Roman;Times;Serif" w:hAnsi="Times New Roman;Times;Serif"/>
          <w:b w:val="false"/>
          <w:i w:val="false"/>
          <w:caps w:val="false"/>
          <w:smallCaps w:val="false"/>
          <w:sz w:val="20"/>
        </w:rPr>
        <w:t xml:space="preserve"> shall determine (which determination shall be conclusive and binding absent manifest error) that </w:t>
      </w:r>
      <w:r>
        <w:rPr>
          <w:rFonts w:ascii="Times New Roman;Times;Serif" w:hAnsi="Times New Roman;Times;Serif"/>
          <w:b w:val="false"/>
          <w:i w:val="false"/>
          <w:caps w:val="false"/>
          <w:smallCaps w:val="false"/>
          <w:strike/>
          <w:color w:val="FF0000"/>
          <w:sz w:val="20"/>
        </w:rPr>
        <w:t>Adjusted Term SOFR</w:t>
      </w:r>
      <w:r>
        <w:rPr>
          <w:rFonts w:ascii="Times New Roman;Times;Serif" w:hAnsi="Times New Roman;Times;Serif"/>
          <w:b w:val="false"/>
          <w:i w:val="false"/>
          <w:caps w:val="false"/>
          <w:smallCaps w:val="false"/>
          <w:color w:val="0000FF"/>
          <w:sz w:val="20"/>
          <w:u w:val="single"/>
        </w:rPr>
        <w:t>the applicable Benchmark</w:t>
      </w:r>
      <w:r>
        <w:rPr>
          <w:rFonts w:ascii="Times New Roman;Times;Serif" w:hAnsi="Times New Roman;Times;Serif"/>
          <w:b w:val="false"/>
          <w:i w:val="false"/>
          <w:caps w:val="false"/>
          <w:smallCaps w:val="false"/>
          <w:sz w:val="20"/>
        </w:rPr>
        <w:t xml:space="preserve"> does not adequately and fairly reflect the cost to such Lenders of making or maintaining such Loans during such Interest Period </w:t>
      </w:r>
      <w:r>
        <w:rPr>
          <w:rFonts w:ascii="Times New Roman;Times;Serif" w:hAnsi="Times New Roman;Times;Serif"/>
          <w:b w:val="false"/>
          <w:i w:val="false"/>
          <w:caps w:val="false"/>
          <w:smallCaps w:val="false"/>
          <w:color w:val="0000FF"/>
          <w:sz w:val="20"/>
          <w:u w:val="single"/>
        </w:rPr>
        <w:t xml:space="preserve">or other interest period </w:t>
      </w:r>
      <w:r>
        <w:rPr>
          <w:rFonts w:ascii="Times New Roman;Times;Serif" w:hAnsi="Times New Roman;Times;Serif"/>
          <w:b w:val="false"/>
          <w:i w:val="false"/>
          <w:caps w:val="false"/>
          <w:smallCaps w:val="false"/>
          <w:sz w:val="20"/>
        </w:rPr>
        <w:t xml:space="preserve">and, in the case of clause (ii), the Required Lenders </w:t>
      </w:r>
      <w:r>
        <w:rPr>
          <w:rFonts w:ascii="Times New Roman;Times;Serif" w:hAnsi="Times New Roman;Times;Serif"/>
          <w:b w:val="false"/>
          <w:i w:val="false"/>
          <w:caps w:val="false"/>
          <w:smallCaps w:val="false"/>
          <w:color w:val="0000FF"/>
          <w:sz w:val="20"/>
          <w:u w:val="single"/>
        </w:rPr>
        <w:t xml:space="preserve">or Required Alternative Currency Lenders, as applicable, </w:t>
      </w:r>
      <w:r>
        <w:rPr>
          <w:rFonts w:ascii="Times New Roman;Times;Serif" w:hAnsi="Times New Roman;Times;Serif"/>
          <w:b w:val="false"/>
          <w:i w:val="false"/>
          <w:caps w:val="false"/>
          <w:smallCaps w:val="false"/>
          <w:sz w:val="20"/>
        </w:rPr>
        <w:t xml:space="preserve">have provided notice of such determination to the Agent, then, in each case, the Agent shall promptly give notice thereof to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Upon notice thereof by the Agent to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any obligation of the Lenders to make SOFR Advances </w:t>
      </w:r>
      <w:r>
        <w:rPr>
          <w:rFonts w:ascii="Times New Roman;Times;Serif" w:hAnsi="Times New Roman;Times;Serif"/>
          <w:b w:val="false"/>
          <w:i w:val="false"/>
          <w:caps w:val="false"/>
          <w:smallCaps w:val="false"/>
          <w:color w:val="0000FF"/>
          <w:sz w:val="20"/>
          <w:u w:val="single"/>
        </w:rPr>
        <w:t>and any obligation of the Alternative Currency Lenders to make Alternative Currency RFR Advances</w:t>
      </w:r>
      <w:r>
        <w:rPr>
          <w:rFonts w:ascii="Times New Roman;Times;Serif" w:hAnsi="Times New Roman;Times;Serif"/>
          <w:b w:val="false"/>
          <w:i w:val="false"/>
          <w:caps w:val="false"/>
          <w:smallCaps w:val="false"/>
          <w:sz w:val="20"/>
        </w:rPr>
        <w:t xml:space="preserve">, and any right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convert any Loan to or continue any Loan as a SOFR Advance </w:t>
      </w:r>
      <w:r>
        <w:rPr>
          <w:rFonts w:ascii="Times New Roman;Times;Serif" w:hAnsi="Times New Roman;Times;Serif"/>
          <w:b w:val="false"/>
          <w:i w:val="false"/>
          <w:caps w:val="false"/>
          <w:smallCaps w:val="false"/>
          <w:color w:val="0000FF"/>
          <w:sz w:val="20"/>
          <w:u w:val="single"/>
        </w:rPr>
        <w:t>or Alternative Currency RFR Advance</w:t>
      </w:r>
      <w:r>
        <w:rPr>
          <w:rFonts w:ascii="Times New Roman;Times;Serif" w:hAnsi="Times New Roman;Times;Serif"/>
          <w:b w:val="false"/>
          <w:i w:val="false"/>
          <w:caps w:val="false"/>
          <w:smallCaps w:val="false"/>
          <w:sz w:val="20"/>
        </w:rPr>
        <w:t xml:space="preserve">, shall be suspended (to the extent of the affected </w:t>
      </w:r>
      <w:r>
        <w:rPr>
          <w:rFonts w:ascii="Times New Roman;Times;Serif" w:hAnsi="Times New Roman;Times;Serif"/>
          <w:b w:val="false"/>
          <w:i w:val="false"/>
          <w:caps w:val="false"/>
          <w:smallCaps w:val="false"/>
          <w:strike/>
          <w:color w:val="FF0000"/>
          <w:sz w:val="20"/>
        </w:rPr>
        <w:t>SOFR Advances or the affected</w:t>
      </w:r>
      <w:r>
        <w:rPr>
          <w:rFonts w:ascii="Times New Roman;Times;Serif" w:hAnsi="Times New Roman;Times;Serif"/>
          <w:b w:val="false"/>
          <w:i w:val="false"/>
          <w:caps w:val="false"/>
          <w:smallCaps w:val="false"/>
          <w:color w:val="0000FF"/>
          <w:sz w:val="20"/>
          <w:u w:val="single"/>
        </w:rPr>
        <w:t>Loans, Applicable Currencies or</w:t>
      </w:r>
      <w:r>
        <w:rPr>
          <w:rFonts w:ascii="Times New Roman;Times;Serif" w:hAnsi="Times New Roman;Times;Serif"/>
          <w:b w:val="false"/>
          <w:i w:val="false"/>
          <w:caps w:val="false"/>
          <w:smallCaps w:val="false"/>
          <w:sz w:val="20"/>
        </w:rPr>
        <w:t xml:space="preserve"> Interest Periods) until the Agent (with respect to clause (ii), at the instruction of the Required Lenders </w:t>
      </w:r>
      <w:r>
        <w:rPr>
          <w:rFonts w:ascii="Times New Roman;Times;Serif" w:hAnsi="Times New Roman;Times;Serif"/>
          <w:b w:val="false"/>
          <w:i w:val="false"/>
          <w:caps w:val="false"/>
          <w:smallCaps w:val="false"/>
          <w:color w:val="0000FF"/>
          <w:sz w:val="20"/>
          <w:u w:val="single"/>
        </w:rPr>
        <w:t>or Required Alternative Currency Lenders, as applicable</w:t>
      </w:r>
      <w:r>
        <w:rPr>
          <w:rFonts w:ascii="Times New Roman;Times;Serif" w:hAnsi="Times New Roman;Times;Serif"/>
          <w:b w:val="false"/>
          <w:i w:val="false"/>
          <w:caps w:val="false"/>
          <w:smallCaps w:val="false"/>
          <w:sz w:val="20"/>
        </w:rPr>
        <w:t xml:space="preserve">) revokes such notice. Upon receipt of such notice, </w:t>
      </w:r>
      <w:r>
        <w:rPr>
          <w:rFonts w:ascii="Times New Roman;Times;Serif" w:hAnsi="Times New Roman;Times;Serif"/>
          <w:b w:val="false"/>
          <w:i w:val="false"/>
          <w:caps w:val="false"/>
          <w:smallCaps w:val="false"/>
          <w:strike/>
          <w:color w:val="FF0000"/>
          <w:sz w:val="20"/>
        </w:rPr>
        <w:t>(A) </w:t>
      </w:r>
      <w:r>
        <w:rPr>
          <w:rFonts w:ascii="Times New Roman;Times;Serif" w:hAnsi="Times New Roman;Times;Serif"/>
          <w:b w:val="false"/>
          <w:i w:val="false"/>
          <w:caps w:val="false"/>
          <w:smallCaps w:val="false"/>
          <w:sz w:val="20"/>
        </w:rPr>
        <w:t xml:space="preserve">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may revoke any pending request for a borrowing of, conversion to or continuation of </w:t>
      </w:r>
      <w:r>
        <w:rPr>
          <w:rFonts w:ascii="Times New Roman;Times;Serif" w:hAnsi="Times New Roman;Times;Serif"/>
          <w:b w:val="false"/>
          <w:i w:val="false"/>
          <w:caps w:val="false"/>
          <w:smallCaps w:val="false"/>
          <w:strike/>
          <w:color w:val="FF0000"/>
          <w:sz w:val="20"/>
        </w:rPr>
        <w:t xml:space="preserve">SOFR Advances (to the extent of the </w:t>
      </w:r>
      <w:r>
        <w:rPr>
          <w:rFonts w:ascii="Times New Roman;Times;Serif" w:hAnsi="Times New Roman;Times;Serif"/>
          <w:b w:val="false"/>
          <w:i w:val="false"/>
          <w:caps w:val="false"/>
          <w:smallCaps w:val="false"/>
          <w:sz w:val="20"/>
        </w:rPr>
        <w:t xml:space="preserve">affected </w:t>
      </w:r>
      <w:r>
        <w:rPr>
          <w:rFonts w:ascii="Times New Roman;Times;Serif" w:hAnsi="Times New Roman;Times;Serif"/>
          <w:b w:val="false"/>
          <w:i w:val="false"/>
          <w:caps w:val="false"/>
          <w:smallCaps w:val="false"/>
          <w:strike/>
          <w:color w:val="FF0000"/>
          <w:sz w:val="20"/>
        </w:rPr>
        <w:t xml:space="preserve">SOFR </w:t>
      </w:r>
      <w:r>
        <w:rPr>
          <w:rFonts w:ascii="Times New Roman;Times;Serif" w:hAnsi="Times New Roman;Times;Serif"/>
          <w:b w:val="false"/>
          <w:i w:val="false"/>
          <w:caps w:val="false"/>
          <w:smallCaps w:val="false"/>
          <w:sz w:val="20"/>
        </w:rPr>
        <w:t xml:space="preserve">Advances or </w:t>
      </w:r>
      <w:r>
        <w:rPr>
          <w:rFonts w:ascii="Times New Roman;Times;Serif" w:hAnsi="Times New Roman;Times;Serif"/>
          <w:b w:val="false"/>
          <w:i w:val="false"/>
          <w:caps w:val="false"/>
          <w:smallCaps w:val="false"/>
          <w:strike/>
          <w:color w:val="FF0000"/>
          <w:sz w:val="20"/>
        </w:rPr>
        <w:t>the affected Interest Periods) or</w:t>
      </w:r>
      <w:r>
        <w:rPr>
          <w:rFonts w:ascii="Times New Roman;Times;Serif" w:hAnsi="Times New Roman;Times;Serif"/>
          <w:b w:val="false"/>
          <w:i w:val="false"/>
          <w:caps w:val="false"/>
          <w:smallCaps w:val="false"/>
          <w:sz w:val="20"/>
        </w:rPr>
        <w:t xml:space="preserve">, failing that, </w:t>
      </w:r>
      <w:r>
        <w:rPr>
          <w:rFonts w:ascii="Times New Roman;Times;Serif" w:hAnsi="Times New Roman;Times;Serif"/>
          <w:b w:val="false"/>
          <w:i w:val="false"/>
          <w:caps w:val="false"/>
          <w:smallCaps w:val="false"/>
          <w:color w:val="0000FF"/>
          <w:sz w:val="20"/>
          <w:u w:val="single"/>
        </w:rPr>
        <w:t xml:space="preserve">(A) in the case of any request for a borrowing of or conversion to SOFR Advances, </w:t>
      </w:r>
      <w:r>
        <w:rPr>
          <w:rFonts w:ascii="Times New Roman;Times;Serif" w:hAnsi="Times New Roman;Times;Serif"/>
          <w:b w:val="false"/>
          <w:i w:val="false"/>
          <w:caps w:val="false"/>
          <w:smallCaps w:val="false"/>
          <w:sz w:val="20"/>
        </w:rPr>
        <w:t xml:space="preserve">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will be deemed to have converted </w:t>
      </w:r>
      <w:r>
        <w:rPr>
          <w:rFonts w:ascii="Times New Roman;Times;Serif" w:hAnsi="Times New Roman;Times;Serif"/>
          <w:b w:val="false"/>
          <w:i w:val="false"/>
          <w:caps w:val="false"/>
          <w:smallCaps w:val="false"/>
          <w:strike/>
          <w:color w:val="FF0000"/>
          <w:sz w:val="20"/>
        </w:rPr>
        <w:t xml:space="preserve">any </w:t>
      </w:r>
      <w:r>
        <w:rPr>
          <w:rFonts w:ascii="Times New Roman;Times;Serif" w:hAnsi="Times New Roman;Times;Serif"/>
          <w:b w:val="false"/>
          <w:i w:val="false"/>
          <w:caps w:val="false"/>
          <w:smallCaps w:val="false"/>
          <w:sz w:val="20"/>
        </w:rPr>
        <w:t>such request into a request for a borrowing of or conversion to CB Floating Rate Advances in the amount specified therein and (B) </w:t>
      </w:r>
      <w:r>
        <w:rPr>
          <w:rFonts w:ascii="Times New Roman;Times;Serif" w:hAnsi="Times New Roman;Times;Serif"/>
          <w:b w:val="false"/>
          <w:i w:val="false"/>
          <w:caps w:val="false"/>
          <w:smallCaps w:val="false"/>
          <w:strike/>
          <w:color w:val="FF0000"/>
          <w:sz w:val="20"/>
        </w:rPr>
        <w:t>any</w:t>
      </w:r>
      <w:r>
        <w:rPr>
          <w:rFonts w:ascii="Times New Roman;Times;Serif" w:hAnsi="Times New Roman;Times;Serif"/>
          <w:b w:val="false"/>
          <w:i w:val="false"/>
          <w:caps w:val="false"/>
          <w:smallCaps w:val="false"/>
          <w:color w:val="0000FF"/>
          <w:sz w:val="20"/>
          <w:u w:val="single"/>
        </w:rPr>
        <w:t>in the case of any request for a borrowing of Alternative Currency RFR Advances, such request shall be ineffective. Any</w:t>
      </w:r>
      <w:r>
        <w:rPr>
          <w:rFonts w:ascii="Times New Roman;Times;Serif" w:hAnsi="Times New Roman;Times;Serif"/>
          <w:b w:val="false"/>
          <w:i w:val="false"/>
          <w:caps w:val="false"/>
          <w:smallCaps w:val="false"/>
          <w:sz w:val="20"/>
        </w:rPr>
        <w:t xml:space="preserve"> outstanding affected </w:t>
      </w:r>
      <w:r>
        <w:rPr>
          <w:rFonts w:ascii="Times New Roman;Times;Serif" w:hAnsi="Times New Roman;Times;Serif"/>
          <w:b w:val="false"/>
          <w:i w:val="false"/>
          <w:caps w:val="false"/>
          <w:smallCaps w:val="false"/>
          <w:strike/>
          <w:color w:val="FF0000"/>
          <w:sz w:val="20"/>
        </w:rPr>
        <w:t>SOFR Advances will be deemed to have been</w:t>
      </w:r>
      <w:r>
        <w:rPr>
          <w:rFonts w:ascii="Times New Roman;Times;Serif" w:hAnsi="Times New Roman;Times;Serif"/>
          <w:b w:val="false"/>
          <w:i w:val="false"/>
          <w:caps w:val="false"/>
          <w:smallCaps w:val="false"/>
          <w:color w:val="0000FF"/>
          <w:sz w:val="20"/>
          <w:u w:val="single"/>
        </w:rPr>
        <w:t>Advances denominated in an Alternative Currency shall, at the Borrower Representative’s election, either be</w:t>
      </w:r>
      <w:r>
        <w:rPr>
          <w:rFonts w:ascii="Times New Roman;Times;Serif" w:hAnsi="Times New Roman;Times;Serif"/>
          <w:b w:val="false"/>
          <w:i w:val="false"/>
          <w:caps w:val="false"/>
          <w:smallCaps w:val="false"/>
          <w:sz w:val="20"/>
        </w:rPr>
        <w:t xml:space="preserve"> converted into CB Floating Rate Advances </w:t>
      </w:r>
      <w:r>
        <w:rPr>
          <w:rFonts w:ascii="Times New Roman;Times;Serif" w:hAnsi="Times New Roman;Times;Serif"/>
          <w:b w:val="false"/>
          <w:i w:val="false"/>
          <w:caps w:val="false"/>
          <w:smallCaps w:val="false"/>
          <w:strike/>
          <w:color w:val="FF0000"/>
          <w:sz w:val="20"/>
        </w:rPr>
        <w:t>at the end of the applicable Interest Period</w:t>
      </w:r>
      <w:r>
        <w:rPr>
          <w:rFonts w:ascii="Times New Roman;Times;Serif" w:hAnsi="Times New Roman;Times;Serif"/>
          <w:b w:val="false"/>
          <w:i w:val="false"/>
          <w:caps w:val="false"/>
          <w:smallCaps w:val="false"/>
          <w:color w:val="0000FF"/>
          <w:sz w:val="20"/>
          <w:u w:val="single"/>
        </w:rPr>
        <w:t>denominated in Dollars in an amount equal to the Dollar Equivalent of such Alternative Currency or be prepaid in full, in each case immediately</w:t>
      </w:r>
      <w:r>
        <w:rPr>
          <w:rFonts w:ascii="Times New Roman;Times;Serif" w:hAnsi="Times New Roman;Times;Serif"/>
          <w:b w:val="false"/>
          <w:i w:val="false"/>
          <w:caps w:val="false"/>
          <w:smallCaps w:val="false"/>
          <w:sz w:val="20"/>
        </w:rPr>
        <w:t xml:space="preserve">. Upon any such prepayment or conversion,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 xml:space="preserve">Laws Affecting </w:t>
      </w:r>
      <w:r>
        <w:rPr>
          <w:rFonts w:ascii="Times New Roman;Times;Serif" w:hAnsi="Times New Roman;Times;Serif"/>
          <w:b w:val="false"/>
          <w:i w:val="false"/>
          <w:caps w:val="false"/>
          <w:smallCaps w:val="false"/>
          <w:strike/>
          <w:color w:val="FF0000"/>
          <w:sz w:val="20"/>
          <w:u w:val="single"/>
        </w:rPr>
        <w:t>SOFR</w:t>
      </w:r>
      <w:r>
        <w:rPr>
          <w:rFonts w:ascii="Times New Roman;Times;Serif" w:hAnsi="Times New Roman;Times;Serif"/>
          <w:b w:val="false"/>
          <w:i w:val="false"/>
          <w:caps w:val="false"/>
          <w:smallCaps w:val="false"/>
          <w:color w:val="0000FF"/>
          <w:sz w:val="20"/>
          <w:u w:val="single"/>
        </w:rPr>
        <w:t>Benchmark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Advance, or </w:t>
      </w:r>
      <w:r>
        <w:rPr>
          <w:rFonts w:ascii="Times New Roman;Times;Serif" w:hAnsi="Times New Roman;Times;Serif"/>
          <w:b w:val="false"/>
          <w:i w:val="false"/>
          <w:caps w:val="false"/>
          <w:smallCaps w:val="false"/>
          <w:color w:val="0000FF"/>
          <w:sz w:val="20"/>
          <w:u w:val="single"/>
        </w:rPr>
        <w:t xml:space="preserve">any of the Alternative Currency Lenders (or any of their respective lending offices) to honor its obligations hereunder to make or maintain any Alternative Currency RFR Advance, or </w:t>
      </w:r>
      <w:r>
        <w:rPr>
          <w:rFonts w:ascii="Times New Roman;Times;Serif" w:hAnsi="Times New Roman;Times;Serif"/>
          <w:b w:val="false"/>
          <w:i w:val="false"/>
          <w:caps w:val="false"/>
          <w:smallCaps w:val="false"/>
          <w:sz w:val="20"/>
        </w:rPr>
        <w:t xml:space="preserve">to determine or charge interest based upon </w:t>
      </w:r>
      <w:r>
        <w:rPr>
          <w:rFonts w:ascii="Times New Roman;Times;Serif" w:hAnsi="Times New Roman;Times;Serif"/>
          <w:b w:val="false"/>
          <w:i w:val="false"/>
          <w:caps w:val="false"/>
          <w:smallCaps w:val="false"/>
          <w:strike/>
          <w:color w:val="FF0000"/>
          <w:sz w:val="20"/>
        </w:rPr>
        <w:t>SOFR, the Term SOFR Reference Rate, Adjusted Term SOFR or Term SOFR</w:t>
      </w:r>
      <w:r>
        <w:rPr>
          <w:rFonts w:ascii="Times New Roman;Times;Serif" w:hAnsi="Times New Roman;Times;Serif"/>
          <w:b w:val="false"/>
          <w:i w:val="false"/>
          <w:caps w:val="false"/>
          <w:smallCaps w:val="false"/>
          <w:color w:val="0000FF"/>
          <w:sz w:val="20"/>
          <w:u w:val="single"/>
        </w:rPr>
        <w:t>the applicable Benchmark</w:t>
      </w:r>
      <w:r>
        <w:rPr>
          <w:rFonts w:ascii="Times New Roman;Times;Serif" w:hAnsi="Times New Roman;Times;Serif"/>
          <w:b w:val="false"/>
          <w:i w:val="false"/>
          <w:caps w:val="false"/>
          <w:smallCaps w:val="false"/>
          <w:sz w:val="20"/>
        </w:rPr>
        <w:t xml:space="preserve">, such Lender shall promptly give notice thereof to the Agent and the Agent shall promptly give notice to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and the other </w:t>
      </w:r>
      <w:r>
        <w:rPr>
          <w:rFonts w:ascii="Times New Roman;Times;Serif" w:hAnsi="Times New Roman;Times;Serif"/>
          <w:b w:val="false"/>
          <w:i w:val="false"/>
          <w:caps w:val="false"/>
          <w:smallCaps w:val="false"/>
          <w:color w:val="0000FF"/>
          <w:sz w:val="20"/>
          <w:u w:val="single"/>
        </w:rPr>
        <w:t xml:space="preserve">affected </w:t>
      </w:r>
      <w:r>
        <w:rPr>
          <w:rFonts w:ascii="Times New Roman;Times;Serif" w:hAnsi="Times New Roman;Times;Serif"/>
          <w:b w:val="false"/>
          <w:i w:val="false"/>
          <w:caps w:val="false"/>
          <w:smallCaps w:val="false"/>
          <w:sz w:val="20"/>
        </w:rPr>
        <w:t>Lenders (an “</w:t>
      </w:r>
      <w:r>
        <w:rPr>
          <w:rFonts w:ascii="Times New Roman;Times;Serif" w:hAnsi="Times New Roman;Times;Serif"/>
          <w:b w:val="false"/>
          <w:i w:val="false"/>
          <w:caps w:val="false"/>
          <w:smallCaps w:val="false"/>
          <w:sz w:val="20"/>
          <w:u w:val="single"/>
        </w:rPr>
        <w:t>Illegality Notice</w:t>
      </w:r>
      <w:r>
        <w:rPr>
          <w:rFonts w:ascii="Times New Roman;Times;Serif" w:hAnsi="Times New Roman;Times;Serif"/>
          <w:b w:val="false"/>
          <w:i w:val="false"/>
          <w:caps w:val="false"/>
          <w:smallCaps w:val="false"/>
          <w:sz w:val="20"/>
        </w:rPr>
        <w:t xml:space="preserve">”). Thereafter, until each affected Lender notifies the Agent and the Agent notifies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that the circumstances giving rise to such determination no longer exist,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any obligation of the </w:t>
      </w:r>
      <w:r>
        <w:rPr>
          <w:rFonts w:ascii="Times New Roman;Times;Serif" w:hAnsi="Times New Roman;Times;Serif"/>
          <w:b w:val="false"/>
          <w:i w:val="false"/>
          <w:caps w:val="false"/>
          <w:smallCaps w:val="false"/>
          <w:color w:val="0000FF"/>
          <w:sz w:val="20"/>
          <w:u w:val="single"/>
        </w:rPr>
        <w:t xml:space="preserve">affected </w:t>
      </w:r>
      <w:r>
        <w:rPr>
          <w:rFonts w:ascii="Times New Roman;Times;Serif" w:hAnsi="Times New Roman;Times;Serif"/>
          <w:b w:val="false"/>
          <w:i w:val="false"/>
          <w:caps w:val="false"/>
          <w:smallCaps w:val="false"/>
          <w:sz w:val="20"/>
        </w:rPr>
        <w:t xml:space="preserve">Lenders to make </w:t>
      </w:r>
      <w:r>
        <w:rPr>
          <w:rFonts w:ascii="Times New Roman;Times;Serif" w:hAnsi="Times New Roman;Times;Serif"/>
          <w:b w:val="false"/>
          <w:i w:val="false"/>
          <w:caps w:val="false"/>
          <w:smallCaps w:val="false"/>
          <w:strike/>
          <w:color w:val="FF0000"/>
          <w:sz w:val="20"/>
        </w:rPr>
        <w:t>SOFR</w:t>
      </w:r>
      <w:r>
        <w:rPr>
          <w:rFonts w:ascii="Times New Roman;Times;Serif" w:hAnsi="Times New Roman;Times;Serif"/>
          <w:b w:val="false"/>
          <w:i w:val="false"/>
          <w:caps w:val="false"/>
          <w:smallCaps w:val="false"/>
          <w:color w:val="0000FF"/>
          <w:sz w:val="20"/>
          <w:u w:val="single"/>
        </w:rPr>
        <w:t>affected</w:t>
      </w:r>
      <w:r>
        <w:rPr>
          <w:rFonts w:ascii="Times New Roman;Times;Serif" w:hAnsi="Times New Roman;Times;Serif"/>
          <w:b w:val="false"/>
          <w:i w:val="false"/>
          <w:caps w:val="false"/>
          <w:smallCaps w:val="false"/>
          <w:sz w:val="20"/>
        </w:rPr>
        <w:t xml:space="preserve"> Advances, and any right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convert any Loan to </w:t>
      </w:r>
      <w:r>
        <w:rPr>
          <w:rFonts w:ascii="Times New Roman;Times;Serif" w:hAnsi="Times New Roman;Times;Serif"/>
          <w:b w:val="false"/>
          <w:i w:val="false"/>
          <w:caps w:val="false"/>
          <w:smallCaps w:val="false"/>
          <w:strike/>
          <w:color w:val="FF0000"/>
          <w:sz w:val="20"/>
        </w:rPr>
        <w:t xml:space="preserve">a SOFR Advance </w:t>
      </w:r>
      <w:r>
        <w:rPr>
          <w:rFonts w:ascii="Times New Roman;Times;Serif" w:hAnsi="Times New Roman;Times;Serif"/>
          <w:b w:val="false"/>
          <w:i w:val="false"/>
          <w:caps w:val="false"/>
          <w:smallCaps w:val="false"/>
          <w:sz w:val="20"/>
        </w:rPr>
        <w:t xml:space="preserve">or continue any Loan as </w:t>
      </w:r>
      <w:r>
        <w:rPr>
          <w:rFonts w:ascii="Times New Roman;Times;Serif" w:hAnsi="Times New Roman;Times;Serif"/>
          <w:b w:val="false"/>
          <w:i w:val="false"/>
          <w:caps w:val="false"/>
          <w:smallCaps w:val="false"/>
          <w:strike/>
          <w:color w:val="FF0000"/>
          <w:sz w:val="20"/>
        </w:rPr>
        <w:t>a SOFR</w:t>
      </w:r>
      <w:r>
        <w:rPr>
          <w:rFonts w:ascii="Times New Roman;Times;Serif" w:hAnsi="Times New Roman;Times;Serif"/>
          <w:b w:val="false"/>
          <w:i w:val="false"/>
          <w:caps w:val="false"/>
          <w:smallCaps w:val="false"/>
          <w:color w:val="0000FF"/>
          <w:sz w:val="20"/>
          <w:u w:val="single"/>
        </w:rPr>
        <w:t>an affected</w:t>
      </w:r>
      <w:r>
        <w:rPr>
          <w:rFonts w:ascii="Times New Roman;Times;Serif" w:hAnsi="Times New Roman;Times;Serif"/>
          <w:b w:val="false"/>
          <w:i w:val="false"/>
          <w:caps w:val="false"/>
          <w:smallCaps w:val="false"/>
          <w:sz w:val="20"/>
        </w:rPr>
        <w:t xml:space="preserve"> Advance, shall be suspended </w:t>
      </w:r>
      <w:r>
        <w:rPr>
          <w:rFonts w:ascii="Times New Roman;Times;Serif" w:hAnsi="Times New Roman;Times;Serif"/>
          <w:b w:val="false"/>
          <w:i w:val="false"/>
          <w:caps w:val="false"/>
          <w:smallCaps w:val="false"/>
          <w:strike/>
          <w:color w:val="FF0000"/>
          <w:sz w:val="20"/>
        </w:rPr>
        <w:t>and (ii) if necessary to avoid such illegality, the Agent shall compute the CB Floating Rate without reference to clause (c) of the definition of “CB Floating Rate”</w:t>
      </w:r>
      <w:r>
        <w:rPr>
          <w:rFonts w:ascii="Times New Roman;Times;Serif" w:hAnsi="Times New Roman;Times;Serif"/>
          <w:b w:val="false"/>
          <w:i w:val="false"/>
          <w:caps w:val="false"/>
          <w:smallCaps w:val="false"/>
          <w:sz w:val="20"/>
        </w:rPr>
        <w:t xml:space="preserve">. Upon receipt of an Illegality Notice,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shall, if necessary to avoid such illegality, upon demand from any </w:t>
      </w:r>
      <w:r>
        <w:rPr>
          <w:rFonts w:ascii="Times New Roman;Times;Serif" w:hAnsi="Times New Roman;Times;Serif"/>
          <w:b w:val="false"/>
          <w:i w:val="false"/>
          <w:caps w:val="false"/>
          <w:smallCaps w:val="false"/>
          <w:color w:val="0000FF"/>
          <w:sz w:val="20"/>
          <w:u w:val="single"/>
        </w:rPr>
        <w:t xml:space="preserve">affected </w:t>
      </w:r>
      <w:r>
        <w:rPr>
          <w:rFonts w:ascii="Times New Roman;Times;Serif" w:hAnsi="Times New Roman;Times;Serif"/>
          <w:b w:val="false"/>
          <w:i w:val="false"/>
          <w:caps w:val="false"/>
          <w:smallCaps w:val="false"/>
          <w:sz w:val="20"/>
        </w:rPr>
        <w:t>Lender (with a copy to the Agent), prepay or</w:t>
      </w:r>
      <w:r>
        <w:rPr>
          <w:rFonts w:ascii="Times New Roman;Times;Serif" w:hAnsi="Times New Roman;Times;Serif"/>
          <w:b w:val="false"/>
          <w:i w:val="false"/>
          <w:caps w:val="false"/>
          <w:smallCaps w:val="false"/>
          <w:strike/>
          <w:color w:val="FF0000"/>
          <w:sz w:val="20"/>
        </w:rPr>
        <w:t xml:space="preserve">, if applicable, </w:t>
      </w:r>
      <w:r>
        <w:rPr>
          <w:rFonts w:ascii="Times New Roman;Times;Serif" w:hAnsi="Times New Roman;Times;Serif"/>
          <w:b w:val="false"/>
          <w:i w:val="false"/>
          <w:caps w:val="false"/>
          <w:smallCaps w:val="false"/>
          <w:sz w:val="20"/>
        </w:rPr>
        <w:t xml:space="preserve">convert all </w:t>
      </w:r>
      <w:r>
        <w:rPr>
          <w:rFonts w:ascii="Times New Roman;Times;Serif" w:hAnsi="Times New Roman;Times;Serif"/>
          <w:b w:val="false"/>
          <w:i w:val="false"/>
          <w:caps w:val="false"/>
          <w:smallCaps w:val="false"/>
          <w:strike/>
          <w:color w:val="FF0000"/>
          <w:sz w:val="20"/>
        </w:rPr>
        <w:t>SOFR</w:t>
      </w:r>
      <w:r>
        <w:rPr>
          <w:rFonts w:ascii="Times New Roman;Times;Serif" w:hAnsi="Times New Roman;Times;Serif"/>
          <w:b w:val="false"/>
          <w:i w:val="false"/>
          <w:caps w:val="false"/>
          <w:smallCaps w:val="false"/>
          <w:color w:val="0000FF"/>
          <w:sz w:val="20"/>
          <w:u w:val="single"/>
        </w:rPr>
        <w:t>affected</w:t>
      </w:r>
      <w:r>
        <w:rPr>
          <w:rFonts w:ascii="Times New Roman;Times;Serif" w:hAnsi="Times New Roman;Times;Serif"/>
          <w:b w:val="false"/>
          <w:i w:val="false"/>
          <w:caps w:val="false"/>
          <w:smallCaps w:val="false"/>
          <w:sz w:val="20"/>
        </w:rPr>
        <w:t xml:space="preserve"> Advances to CB Floating Rate Advances </w:t>
      </w:r>
      <w:r>
        <w:rPr>
          <w:rFonts w:ascii="Times New Roman;Times;Serif" w:hAnsi="Times New Roman;Times;Serif"/>
          <w:b w:val="false"/>
          <w:i w:val="false"/>
          <w:caps w:val="false"/>
          <w:smallCaps w:val="false"/>
          <w:strike/>
          <w:color w:val="FF0000"/>
          <w:sz w:val="20"/>
        </w:rPr>
        <w:t>(in each case, if necessary to avoid such illegality, the Agent shall compute the CB Floating Rate without reference to clause (c) of the definition of “CB Floating Rate”)</w:t>
      </w:r>
      <w:r>
        <w:rPr>
          <w:rFonts w:ascii="Times New Roman;Times;Serif" w:hAnsi="Times New Roman;Times;Serif"/>
          <w:b w:val="false"/>
          <w:i w:val="false"/>
          <w:caps w:val="false"/>
          <w:smallCaps w:val="false"/>
          <w:color w:val="0000FF"/>
          <w:sz w:val="20"/>
          <w:u w:val="single"/>
        </w:rPr>
        <w:t>denominated in Dollars in an amount equal to the Dollar Equivalent thereof</w:t>
      </w:r>
      <w:r>
        <w:rPr>
          <w:rFonts w:ascii="Times New Roman;Times;Serif" w:hAnsi="Times New Roman;Times;Serif"/>
          <w:b w:val="false"/>
          <w:i w:val="false"/>
          <w:caps w:val="false"/>
          <w:smallCaps w:val="false"/>
          <w:sz w:val="20"/>
        </w:rPr>
        <w:t xml:space="preserve">, on the last day of the Interest Period </w:t>
      </w:r>
      <w:r>
        <w:rPr>
          <w:rFonts w:ascii="Times New Roman;Times;Serif" w:hAnsi="Times New Roman;Times;Serif"/>
          <w:b w:val="false"/>
          <w:i w:val="false"/>
          <w:caps w:val="false"/>
          <w:smallCaps w:val="false"/>
          <w:color w:val="0000FF"/>
          <w:sz w:val="20"/>
          <w:u w:val="single"/>
        </w:rPr>
        <w:t xml:space="preserve">or other applicable interest period </w:t>
      </w:r>
      <w:r>
        <w:rPr>
          <w:rFonts w:ascii="Times New Roman;Times;Serif" w:hAnsi="Times New Roman;Times;Serif"/>
          <w:b w:val="false"/>
          <w:i w:val="false"/>
          <w:caps w:val="false"/>
          <w:smallCaps w:val="false"/>
          <w:sz w:val="20"/>
        </w:rPr>
        <w:t xml:space="preserve">therefor, if all affected Lenders may lawfully continue to maintain such </w:t>
      </w:r>
      <w:r>
        <w:rPr>
          <w:rFonts w:ascii="Times New Roman;Times;Serif" w:hAnsi="Times New Roman;Times;Serif"/>
          <w:b w:val="false"/>
          <w:i w:val="false"/>
          <w:caps w:val="false"/>
          <w:smallCaps w:val="false"/>
          <w:strike/>
          <w:color w:val="FF0000"/>
          <w:sz w:val="20"/>
        </w:rPr>
        <w:t xml:space="preserve">SOFR </w:t>
      </w:r>
      <w:r>
        <w:rPr>
          <w:rFonts w:ascii="Times New Roman;Times;Serif" w:hAnsi="Times New Roman;Times;Serif"/>
          <w:b w:val="false"/>
          <w:i w:val="false"/>
          <w:caps w:val="false"/>
          <w:smallCaps w:val="false"/>
          <w:sz w:val="20"/>
        </w:rPr>
        <w:t xml:space="preserve">Advances to such day, or immediately, if any Lender may not lawfully continue to maintain such </w:t>
      </w:r>
      <w:r>
        <w:rPr>
          <w:rFonts w:ascii="Times New Roman;Times;Serif" w:hAnsi="Times New Roman;Times;Serif"/>
          <w:b w:val="false"/>
          <w:i w:val="false"/>
          <w:caps w:val="false"/>
          <w:smallCaps w:val="false"/>
          <w:strike/>
          <w:color w:val="FF0000"/>
          <w:sz w:val="20"/>
        </w:rPr>
        <w:t xml:space="preserve">SOFR </w:t>
      </w:r>
      <w:r>
        <w:rPr>
          <w:rFonts w:ascii="Times New Roman;Times;Serif" w:hAnsi="Times New Roman;Times;Serif"/>
          <w:b w:val="false"/>
          <w:i w:val="false"/>
          <w:caps w:val="false"/>
          <w:smallCaps w:val="false"/>
          <w:sz w:val="20"/>
        </w:rPr>
        <w:t xml:space="preserve">Advances to such day. Upon any such prepayment or conversion,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herein or in any other Loan Document, upon the occurrence of a Benchmark Transition Event,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amend this Agreement to replace the then-current Benchmark with a Benchmark Replacement. Any such amendment with respect to a Benchmark Transition Event will become effective at 5:00 p.m.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Agent has posted such proposed amendment to all affected Lenders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so long as the Agent has not received, by such time, written notice of objection to such amendment from Lenders comprising the Required Lenders</w:t>
      </w:r>
      <w:r>
        <w:rPr>
          <w:rFonts w:ascii="Times New Roman;Times;Serif" w:hAnsi="Times New Roman;Times;Serif"/>
          <w:b w:val="false"/>
          <w:i w:val="false"/>
          <w:caps w:val="false"/>
          <w:smallCaps w:val="false"/>
          <w:color w:val="0000FF"/>
          <w:sz w:val="20"/>
          <w:u w:val="single"/>
        </w:rPr>
        <w:t>, in the case of a Benchmark for Dollars, or the Required Alternative Currency Lenders, in the case of a Benchmark for an Alternative Currency</w:t>
      </w:r>
      <w:r>
        <w:rPr>
          <w:rFonts w:ascii="Times New Roman;Times;Serif" w:hAnsi="Times New Roman;Times;Serif"/>
          <w:b w:val="false"/>
          <w:i w:val="false"/>
          <w:caps w:val="false"/>
          <w:smallCaps w:val="false"/>
          <w:sz w:val="20"/>
        </w:rPr>
        <w:t xml:space="preserve">. No replacement of a Benchmark with a Benchmark Replacement pursuant to this </w:t>
      </w:r>
      <w:r>
        <w:rPr>
          <w:rFonts w:ascii="Times New Roman;Times;Serif" w:hAnsi="Times New Roman;Times;Serif"/>
          <w:b w:val="false"/>
          <w:i w:val="false"/>
          <w:caps w:val="false"/>
          <w:smallCaps w:val="false"/>
          <w:sz w:val="20"/>
          <w:u w:val="single"/>
        </w:rPr>
        <w:t>Section 3.6(c)(i)(A)</w:t>
      </w:r>
      <w:r>
        <w:rPr>
          <w:rFonts w:ascii="Times New Roman;Times;Serif" w:hAnsi="Times New Roman;Times;Serif"/>
          <w:b w:val="false"/>
          <w:i w:val="false"/>
          <w:caps w:val="false"/>
          <w:smallCaps w:val="false"/>
          <w:sz w:val="20"/>
        </w:rPr>
        <w:t> will occur prior to the applicable Benchmark Transition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Swap Agreement or Precious Metal Transaction documentation shall be deemed to be a “Loan Document” for purposes of this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The Agent will promptly notify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Lenders of (A) the implementation of any Benchmark Replacement and (B) the effectiveness of any Conforming Changes in connection with the use, administration, adoption or implementation of a Benchmark Replacement. The Agent will promptly notify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of the removal or reinstatement of any tenor of a Benchmark pursuant to </w:t>
      </w:r>
      <w:r>
        <w:rPr>
          <w:rFonts w:ascii="Times New Roman;Times;Serif" w:hAnsi="Times New Roman;Times;Serif"/>
          <w:b w:val="false"/>
          <w:i w:val="false"/>
          <w:caps w:val="false"/>
          <w:smallCaps w:val="false"/>
          <w:sz w:val="20"/>
          <w:u w:val="single"/>
        </w:rPr>
        <w:t>Section 3.6(c)(iv)</w:t>
      </w:r>
      <w:r>
        <w:rPr>
          <w:rFonts w:ascii="Times New Roman;Times;Serif" w:hAnsi="Times New Roman;Times;Serif"/>
          <w:b w:val="false"/>
          <w:i w:val="false"/>
          <w:caps w:val="false"/>
          <w:smallCaps w:val="false"/>
          <w:sz w:val="20"/>
        </w:rPr>
        <w:t xml:space="preserve">. Any determination, decision or election that may be made by the Agent or, if applicable, any Lender (or group of Lenders) pursuant to this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Upon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 Representative’s</w:t>
      </w:r>
      <w:r>
        <w:rPr>
          <w:rFonts w:ascii="Times New Roman;Times;Serif" w:hAnsi="Times New Roman;Times;Serif"/>
          <w:b w:val="false"/>
          <w:i w:val="false"/>
          <w:caps w:val="false"/>
          <w:smallCaps w:val="false"/>
          <w:sz w:val="20"/>
        </w:rPr>
        <w:t xml:space="preserve"> receipt of notice of the commencement of a Benchmark Unavailability Period </w:t>
      </w:r>
      <w:r>
        <w:rPr>
          <w:rFonts w:ascii="Times New Roman;Times;Serif" w:hAnsi="Times New Roman;Times;Serif"/>
          <w:b w:val="false"/>
          <w:i w:val="false"/>
          <w:caps w:val="false"/>
          <w:smallCaps w:val="false"/>
          <w:color w:val="0000FF"/>
          <w:sz w:val="20"/>
          <w:u w:val="single"/>
        </w:rPr>
        <w:t>with respect to any Benchmark</w:t>
      </w:r>
      <w:r>
        <w:rPr>
          <w:rFonts w:ascii="Times New Roman;Times;Serif" w:hAnsi="Times New Roman;Times;Serif"/>
          <w:b w:val="false"/>
          <w:i w:val="false"/>
          <w:caps w:val="false"/>
          <w:smallCaps w:val="false"/>
          <w:sz w:val="20"/>
        </w:rPr>
        <w:t xml:space="preserve">, (A)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may revoke any pending request for a borrowing of, conversion to or continuation of SOFR Advances </w:t>
      </w:r>
      <w:r>
        <w:rPr>
          <w:rFonts w:ascii="Times New Roman;Times;Serif" w:hAnsi="Times New Roman;Times;Serif"/>
          <w:b w:val="false"/>
          <w:i w:val="false"/>
          <w:caps w:val="false"/>
          <w:smallCaps w:val="false"/>
          <w:color w:val="0000FF"/>
          <w:sz w:val="20"/>
          <w:u w:val="single"/>
        </w:rPr>
        <w:t xml:space="preserve">or Alternative Currency RFR Advances </w:t>
      </w:r>
      <w:r>
        <w:rPr>
          <w:rFonts w:ascii="Times New Roman;Times;Serif" w:hAnsi="Times New Roman;Times;Serif"/>
          <w:b w:val="false"/>
          <w:i w:val="false"/>
          <w:caps w:val="false"/>
          <w:smallCaps w:val="false"/>
          <w:sz w:val="20"/>
        </w:rPr>
        <w:t xml:space="preserve">to be made, converted or continued during any Benchmark Unavailability Period and, failing that, </w:t>
      </w:r>
      <w:r>
        <w:rPr>
          <w:rFonts w:ascii="Times New Roman;Times;Serif" w:hAnsi="Times New Roman;Times;Serif"/>
          <w:b w:val="false"/>
          <w:i w:val="false"/>
          <w:caps w:val="false"/>
          <w:smallCaps w:val="false"/>
          <w:strike/>
          <w:color w:val="FF0000"/>
          <w:sz w:val="20"/>
        </w:rPr>
        <w:t>the Borrower</w:t>
      </w:r>
      <w:r>
        <w:rPr>
          <w:rFonts w:ascii="Times New Roman;Times;Serif" w:hAnsi="Times New Roman;Times;Serif"/>
          <w:b w:val="false"/>
          <w:i w:val="false"/>
          <w:caps w:val="false"/>
          <w:smallCaps w:val="false"/>
          <w:color w:val="0000FF"/>
          <w:sz w:val="20"/>
          <w:u w:val="single"/>
        </w:rPr>
        <w:t>(1) any request for SOFR Advances</w:t>
      </w:r>
      <w:r>
        <w:rPr>
          <w:rFonts w:ascii="Times New Roman;Times;Serif" w:hAnsi="Times New Roman;Times;Serif"/>
          <w:b w:val="false"/>
          <w:i w:val="false"/>
          <w:caps w:val="false"/>
          <w:smallCaps w:val="false"/>
          <w:sz w:val="20"/>
        </w:rPr>
        <w:t xml:space="preserve"> will be deemed to have </w:t>
      </w:r>
      <w:r>
        <w:rPr>
          <w:rFonts w:ascii="Times New Roman;Times;Serif" w:hAnsi="Times New Roman;Times;Serif"/>
          <w:b w:val="false"/>
          <w:i w:val="false"/>
          <w:caps w:val="false"/>
          <w:smallCaps w:val="false"/>
          <w:color w:val="0000FF"/>
          <w:sz w:val="20"/>
          <w:u w:val="single"/>
        </w:rPr>
        <w:t xml:space="preserve">been </w:t>
      </w:r>
      <w:r>
        <w:rPr>
          <w:rFonts w:ascii="Times New Roman;Times;Serif" w:hAnsi="Times New Roman;Times;Serif"/>
          <w:b w:val="false"/>
          <w:i w:val="false"/>
          <w:caps w:val="false"/>
          <w:smallCaps w:val="false"/>
          <w:sz w:val="20"/>
        </w:rPr>
        <w:t xml:space="preserve">converted </w:t>
      </w:r>
      <w:r>
        <w:rPr>
          <w:rFonts w:ascii="Times New Roman;Times;Serif" w:hAnsi="Times New Roman;Times;Serif"/>
          <w:b w:val="false"/>
          <w:i w:val="false"/>
          <w:caps w:val="false"/>
          <w:smallCaps w:val="false"/>
          <w:strike/>
          <w:color w:val="FF0000"/>
          <w:sz w:val="20"/>
        </w:rPr>
        <w:t xml:space="preserve">any such request </w:t>
      </w:r>
      <w:r>
        <w:rPr>
          <w:rFonts w:ascii="Times New Roman;Times;Serif" w:hAnsi="Times New Roman;Times;Serif"/>
          <w:b w:val="false"/>
          <w:i w:val="false"/>
          <w:caps w:val="false"/>
          <w:smallCaps w:val="false"/>
          <w:sz w:val="20"/>
        </w:rPr>
        <w:t xml:space="preserve">into a request for a borrowing of or conversion to CB Floating Rate Advances </w:t>
      </w:r>
      <w:r>
        <w:rPr>
          <w:rFonts w:ascii="Times New Roman;Times;Serif" w:hAnsi="Times New Roman;Times;Serif"/>
          <w:b w:val="false"/>
          <w:i w:val="false"/>
          <w:caps w:val="false"/>
          <w:smallCaps w:val="false"/>
          <w:color w:val="0000FF"/>
          <w:sz w:val="20"/>
          <w:u w:val="single"/>
        </w:rPr>
        <w:t xml:space="preserve">and (2) any request for Alternative Currency RFR Advances shall be ineffective </w:t>
      </w:r>
      <w:r>
        <w:rPr>
          <w:rFonts w:ascii="Times New Roman;Times;Serif" w:hAnsi="Times New Roman;Times;Serif"/>
          <w:b w:val="false"/>
          <w:i w:val="false"/>
          <w:caps w:val="false"/>
          <w:smallCaps w:val="false"/>
          <w:sz w:val="20"/>
        </w:rPr>
        <w:t xml:space="preserve">and (B) any outstanding affected SOFR Advances will be deemed to have been converted to CB Floating Rate Advances at the end of the applicable Interest Period </w:t>
      </w:r>
      <w:r>
        <w:rPr>
          <w:rFonts w:ascii="Times New Roman;Times;Serif" w:hAnsi="Times New Roman;Times;Serif"/>
          <w:b w:val="false"/>
          <w:i w:val="false"/>
          <w:caps w:val="false"/>
          <w:smallCaps w:val="false"/>
          <w:color w:val="0000FF"/>
          <w:sz w:val="20"/>
          <w:u w:val="single"/>
        </w:rPr>
        <w:t>and any outstanding affected Advances denominated in an Alternative Currency shall, at the Borrower Representative’s election, either be converted into CB Floating Rate Advances denominated in Dollars in an amount equal to the Dollar Equivalent thereof or be prepaid in full to the Alternative Currency Lenders holding such Advances, in each case immediately</w:t>
      </w:r>
      <w:r>
        <w:rPr>
          <w:rFonts w:ascii="Times New Roman;Times;Serif" w:hAnsi="Times New Roman;Times;Serif"/>
          <w:b w:val="false"/>
          <w:i w:val="false"/>
          <w:caps w:val="false"/>
          <w:smallCaps w:val="false"/>
          <w:sz w:val="20"/>
        </w:rPr>
        <w:t>. During any Benchmark Unavailability Period or at any time that a tenor for the then-current Benchmark is not an Available Tenor, the component of the CB Floating Rate based upon the then-current Benchmark or such tenor for such Benchmark, as applicable, will not be used in any determination of the CB Floating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 any applicable jurisdiction, the Agent or any Lender determines that any Applicable Law has made it unlawful, or that any Governmental Authority has asserted that it is unlawful, for the Agent or </w:t>
      </w:r>
      <w:r>
        <w:rPr>
          <w:rFonts w:ascii="Times New Roman;Times;Serif" w:hAnsi="Times New Roman;Times;Serif"/>
          <w:b w:val="false"/>
          <w:i w:val="false"/>
          <w:caps w:val="false"/>
          <w:smallCaps w:val="false"/>
          <w:strike/>
          <w:color w:val="FF0000"/>
          <w:sz w:val="20"/>
        </w:rPr>
        <w:t>any</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Lender to (i) perform any of its obligations hereunder or under any other Loan Document, (ii) </w:t>
      </w:r>
      <w:r>
        <w:rPr>
          <w:rFonts w:ascii="Times New Roman;Times;Serif" w:hAnsi="Times New Roman;Times;Serif"/>
          <w:b w:val="false"/>
          <w:i w:val="false"/>
          <w:caps w:val="false"/>
          <w:smallCaps w:val="false"/>
          <w:strike/>
          <w:color w:val="FF0000"/>
          <w:sz w:val="20"/>
        </w:rPr>
        <w:t xml:space="preserve">to </w:t>
      </w:r>
      <w:r>
        <w:rPr>
          <w:rFonts w:ascii="Times New Roman;Times;Serif" w:hAnsi="Times New Roman;Times;Serif"/>
          <w:b w:val="false"/>
          <w:i w:val="false"/>
          <w:caps w:val="false"/>
          <w:smallCaps w:val="false"/>
          <w:sz w:val="20"/>
        </w:rPr>
        <w:t>fund or maintain its participation in any Loan</w:t>
      </w:r>
      <w:r>
        <w:rPr>
          <w:rFonts w:ascii="Times New Roman;Times;Serif" w:hAnsi="Times New Roman;Times;Serif"/>
          <w:b w:val="false"/>
          <w:i w:val="false"/>
          <w:caps w:val="false"/>
          <w:smallCaps w:val="false"/>
          <w:color w:val="0000FF"/>
          <w:sz w:val="20"/>
          <w:u w:val="single"/>
        </w:rPr>
        <w:t>, including, in the case of any Alternative Currency Lender, any Alternative Currency Loan or participation in L/C Obligations denominated in Alternative Currencies,</w:t>
      </w:r>
      <w:r>
        <w:rPr>
          <w:rFonts w:ascii="Times New Roman;Times;Serif" w:hAnsi="Times New Roman;Times;Serif"/>
          <w:b w:val="false"/>
          <w:i w:val="false"/>
          <w:caps w:val="false"/>
          <w:smallCaps w:val="false"/>
          <w:sz w:val="20"/>
        </w:rPr>
        <w:t xml:space="preserve"> or (iii) issue, make, maintain, fund or charge interest or fees with respect to any extension of credit to any Borrower that is a Foreign Subsidiary, such Person shall promptly notify the Agent, then, upon the Agent notifying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Loan Parties shall, (A) repay that Person’s participation in the Loans or other applicable Obligations on the </w:t>
      </w:r>
      <w:r>
        <w:rPr>
          <w:rFonts w:ascii="Times New Roman;Times;Serif" w:hAnsi="Times New Roman;Times;Serif"/>
          <w:b w:val="false"/>
          <w:i w:val="false"/>
          <w:caps w:val="false"/>
          <w:smallCaps w:val="false"/>
          <w:color w:val="0000FF"/>
          <w:sz w:val="20"/>
          <w:u w:val="single"/>
        </w:rPr>
        <w:t xml:space="preserve">applicable Interest Payment Date for any Alternative Currency RFR Advance, on the </w:t>
      </w:r>
      <w:r>
        <w:rPr>
          <w:rFonts w:ascii="Times New Roman;Times;Serif" w:hAnsi="Times New Roman;Times;Serif"/>
          <w:b w:val="false"/>
          <w:i w:val="false"/>
          <w:caps w:val="false"/>
          <w:smallCaps w:val="false"/>
          <w:sz w:val="20"/>
        </w:rPr>
        <w:t xml:space="preserve">last day of the Interest Period for </w:t>
      </w:r>
      <w:r>
        <w:rPr>
          <w:rFonts w:ascii="Times New Roman;Times;Serif" w:hAnsi="Times New Roman;Times;Serif"/>
          <w:b w:val="false"/>
          <w:i w:val="false"/>
          <w:caps w:val="false"/>
          <w:smallCaps w:val="false"/>
          <w:strike/>
          <w:color w:val="FF0000"/>
          <w:sz w:val="20"/>
        </w:rPr>
        <w:t>each Loan</w:t>
      </w:r>
      <w:r>
        <w:rPr>
          <w:rFonts w:ascii="Times New Roman;Times;Serif" w:hAnsi="Times New Roman;Times;Serif"/>
          <w:b w:val="false"/>
          <w:i w:val="false"/>
          <w:caps w:val="false"/>
          <w:smallCaps w:val="false"/>
          <w:color w:val="0000FF"/>
          <w:sz w:val="20"/>
          <w:u w:val="single"/>
        </w:rPr>
        <w:t>any SOFR Advance</w:t>
      </w:r>
      <w:r>
        <w:rPr>
          <w:rFonts w:ascii="Times New Roman;Times;Serif" w:hAnsi="Times New Roman;Times;Serif"/>
          <w:b w:val="false"/>
          <w:i w:val="false"/>
          <w:caps w:val="false"/>
          <w:smallCaps w:val="false"/>
          <w:sz w:val="20"/>
        </w:rPr>
        <w:t xml:space="preserve">, or on another applicable date with respect to another Obligation, occurring after the Agent has notified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or, in each case, if earlier, the date specified by such Person in the notice delivered to the Agent (being no earlier than the last day of any applicable grace period permitted by Applicable Law) and (B) take all reasonable actions requested by such Person to mitigate or avoid such illegality. </w:t>
      </w:r>
      <w:r>
        <w:rPr>
          <w:rFonts w:ascii="Times New Roman;Times;Serif" w:hAnsi="Times New Roman;Times;Serif"/>
          <w:b w:val="false"/>
          <w:i w:val="false"/>
          <w:caps w:val="false"/>
          <w:smallCaps w:val="false"/>
          <w:color w:val="0000FF"/>
          <w:sz w:val="20"/>
          <w:u w:val="single"/>
        </w:rPr>
        <w:t>If, with respect to Sterling, any change in currency controls or exchange regulations or any change in national or international financial, political or economic conditions in the United Kingdom results in such currency no longer being readily available, freely transferable and convertible into Dollars, a Dollar Equivalent no longer being readily calculable with respect to such currency or such currency becoming impracticable for the Alternative Currency Lenders to lend, then the Agent shall promptly notify the Borrower Representative and the Alternative Currency Lenders, and the Alternative Currency Lenders shall have no obligation to make Loans in such currency until such circumstances cease to exist. Within five (5) Business Days after receipt of such notice, the Borrowers shall repay all Loans denominated in such currency or convert such Loans into the Dollar Equivalent in Dollars as CB Floating Rate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Agreement shall become effective upon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Loan Documents executed by the Borrower and its Subsidiaries (to the extent constituting Subsidiaries on the Effective Date) to the extent required under Section 6.20, including any Notes executed by the Borrower if requested by a Lender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payable to each such requesting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other documents as any Lender or its counsel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Initial Advance</w:t>
      </w:r>
      <w:r>
        <w:rPr>
          <w:rFonts w:ascii="Times New Roman;Times;Serif" w:hAnsi="Times New Roman;Times;Serif"/>
          <w:b w:val="false"/>
          <w:i w:val="false"/>
          <w:caps w:val="false"/>
          <w:smallCaps w:val="false"/>
          <w:sz w:val="20"/>
        </w:rPr>
        <w:t>. The Lenders shall not be required to make the initial Advance hereunder unless, and the Closing Date shall occur when, the Borrower has furnished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joinder agreement executed by Cash America and its Domestic Subsidiaries to the extent required under Section 6.20, together with an updated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reflecting the addition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Copies of the articles or certificate of incorporation of each Loan Party, together with all amendments, and a certificate of good standing, each certified by the appropriate governmental officer in such Loan Party’s jurisdiction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each Loan Party, copies of its by-laws and of its Board of Directors’ resolutions and of resolutions or actions of any other body authorizing the execution of the Loan Documents to which such Loan Party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incumbency certificate, executed by the Secretary or Assistant Secretary of each Loan Party, which shall identify by name and title and bear the signatures of the Authorized Officers and any other officers of such Loan Party authorized to sign the Loan Documents to which such Loan Party is a party, upon which certificate the Agent and the Lenders shall be entitled to rely until informed of any change in writing by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applicable and requested by the Agent, (a) written money transfer instructions and (b) an account designation letter in substantially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in each case, addressed to the Agent and signed by an Authorized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Original certificates of good standing, existence or its equivalent with respect to each Loan Party certified as of a recent date by the appropriate Governmental Authorities of the state of incorporation or organization and each other state in which the failure to so qualify and be in good standing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opinion or opinions (including, if requested by the Agent, opinions of in-house counsel) of counsel for the Loan Parties which are included in the Aggregate Revenue Threshold, dated the date hereof and addressed to the Agent and the Lenders, in form and substance reasonably acceptable to the Agent (which shall include, without limitation, opinions with respect to the due organization and valid existence of each such Loan Party and opinions as to the non-contravention of such Loan Parties’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certificate, in form and substance reasonably satisfactory to the Agent, executed by an Authorized Officer of the Borrower as of the Closing Date stating that the Merger has been consummated in accordance with the Merger Agreement as in effect on April 28, 2016, without (i) any waiver of any condition set forth in the Merger Agreement, and (ii) the occurrence of any event, circumstance, default or breach of a representation that affords the Borrower or its affiliates the ability to terminate the Merger Agreement or their respective obligations thereunder pursuant to the Merger Agreement, in each case to the extent any such waiver or the occurrence of any such event, circumstance, default or breach of a representation is materially adverse to the interests of the Lenders. The Agent shall have received a copy, certified by an officer of the Borrower as true and correct, of the Merger Agreement and all other material documentation with respect to the Merger as originally executed and delivered, together with all exhibits and schedules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Borrowing Notice with respect to the Loans to be made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Evidence that all of the existing Indebtedness for borrowed money of the Borrower and its Subsidiaries (including Cash America) (other than Indebtedness permitted hereunder) shall be repaid in full and all security interests related thereto shall be terminated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Evidence that since December 31, 2015, there shall have been no material adverse effect on the business, assets, financial condition or results of operations of (i) the Borrower and its Subsidiaries, taken as a whole, or (ii) Cash America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Evidence that all governmental and third party consents required in connection with the Transactions have been obtained (without material qualification or condition) and are in full force and effect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Copies of the financial statements referred to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 certificate, in form and substance reasonably satisfactory to the Agent, executed by an Authorized Officer of the Borrower as of the Closing Date stating that, after giving effect to the consummation of the Merger, the Borrower is in pro forma compliance with each of the financial covenants set forth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(as evidenced through detailed calculations of such financial covenants on a schedule to such certificate) for the twelve-month period ended as of the most recent month end prior to the Closing Date for which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At least five (5) days prior to the Closing Date, documentation and other information requested by the Agent in order to comply with requirements of the </w:t>
      </w:r>
      <w:r>
        <w:rPr>
          <w:rFonts w:ascii="Times New Roman;Times;Serif" w:hAnsi="Times New Roman;Times;Serif"/>
          <w:b w:val="false"/>
          <w:i w:val="false"/>
          <w:caps w:val="false"/>
          <w:smallCaps w:val="false"/>
          <w:strike/>
          <w:color w:val="FF0000"/>
          <w:sz w:val="20"/>
        </w:rPr>
        <w:t>PATRIOT</w:t>
      </w:r>
      <w:r>
        <w:rPr>
          <w:rFonts w:ascii="Times New Roman;Times;Serif" w:hAnsi="Times New Roman;Times;Serif"/>
          <w:b w:val="false"/>
          <w:i w:val="false"/>
          <w:caps w:val="false"/>
          <w:smallCaps w:val="false"/>
          <w:color w:val="0000FF"/>
          <w:sz w:val="20"/>
          <w:u w:val="single"/>
        </w:rPr>
        <w:t>Patriot</w:t>
      </w:r>
      <w:r>
        <w:rPr>
          <w:rFonts w:ascii="Times New Roman;Times;Serif" w:hAnsi="Times New Roman;Times;Serif"/>
          <w:b w:val="false"/>
          <w:i w:val="false"/>
          <w:caps w:val="false"/>
          <w:smallCaps w:val="false"/>
          <w:sz w:val="20"/>
        </w:rPr>
        <w:t xml:space="preserve"> Act, applicable “know your customer” and anti-money laundering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Agent and the Lenders shall have received all fees and expenses, if any, owing pursuant to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Each Advance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Subject to Section 1.10 and Section 2.24(II) with respect to any Incremental Term Loans used to finance a Limited Condition Transaction, the</w:t>
      </w:r>
      <w:r>
        <w:rPr>
          <w:rFonts w:ascii="Times New Roman;Times;Serif" w:hAnsi="Times New Roman;Times;Serif"/>
          <w:b w:val="false"/>
          <w:i w:val="false"/>
          <w:caps w:val="false"/>
          <w:smallCaps w:val="false"/>
          <w:sz w:val="20"/>
        </w:rPr>
        <w:t xml:space="preserve"> Lenders shall not be required to make any Advance unless on the applicable Borrowing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exists no Default or Unmatured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time of and immediately after giving effect to such Advance, the representations and warranties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of such Advance as if made on and as of such date except for any representation or warranty made as of an earlier date, which representation and warranty shall remain true and correct in all material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Immediately after giving effect to the making of any Advance or extension of credit (and the application of the proceeds thereof), (i) the </w:t>
      </w:r>
      <w:r>
        <w:rPr>
          <w:rFonts w:ascii="Times New Roman;Times;Serif" w:hAnsi="Times New Roman;Times;Serif"/>
          <w:b w:val="false"/>
          <w:i/>
          <w:caps w:val="false"/>
          <w:smallCaps w:val="false"/>
          <w:sz w:val="20"/>
          <w:u w:val="single"/>
        </w:rPr>
        <w:t>sum</w:t>
      </w:r>
      <w:r>
        <w:rPr>
          <w:rFonts w:ascii="Times New Roman;Times;Serif" w:hAnsi="Times New Roman;Times;Serif"/>
          <w:b w:val="false"/>
          <w:i w:val="false"/>
          <w:caps w:val="false"/>
          <w:smallCaps w:val="false"/>
          <w:sz w:val="20"/>
        </w:rPr>
        <w:t xml:space="preserve"> of the </w:t>
      </w:r>
      <w:r>
        <w:rPr>
          <w:rFonts w:ascii="Times New Roman;Times;Serif" w:hAnsi="Times New Roman;Times;Serif"/>
          <w:b w:val="false"/>
          <w:i w:val="false"/>
          <w:caps w:val="false"/>
          <w:smallCaps w:val="false"/>
          <w:color w:val="0000FF"/>
          <w:sz w:val="20"/>
          <w:u w:val="single"/>
        </w:rPr>
        <w:t xml:space="preserve">Dollar Equivalent of the </w:t>
      </w:r>
      <w:r>
        <w:rPr>
          <w:rFonts w:ascii="Times New Roman;Times;Serif" w:hAnsi="Times New Roman;Times;Serif"/>
          <w:b w:val="false"/>
          <w:i w:val="false"/>
          <w:caps w:val="false"/>
          <w:smallCaps w:val="false"/>
          <w:sz w:val="20"/>
        </w:rPr>
        <w:t xml:space="preserve">aggregate principal amount of outstanding Loans </w:t>
      </w:r>
      <w:r>
        <w:rPr>
          <w:rFonts w:ascii="Times New Roman;Times;Serif" w:hAnsi="Times New Roman;Times;Serif"/>
          <w:b w:val="false"/>
          <w:i w:val="false"/>
          <w:caps w:val="false"/>
          <w:smallCaps w:val="false"/>
          <w:strike/>
          <w:color w:val="FF0000"/>
          <w:sz w:val="20"/>
        </w:rPr>
        <w:t>plus</w:t>
      </w:r>
      <w:r>
        <w:rPr>
          <w:rFonts w:ascii="Times New Roman;Times;Serif" w:hAnsi="Times New Roman;Times;Serif"/>
          <w:b w:val="false"/>
          <w:i w:val="false"/>
          <w:caps w:val="false"/>
          <w:smallCaps w:val="false"/>
          <w:color w:val="0000FF"/>
          <w:sz w:val="20"/>
          <w:u w:val="single"/>
        </w:rPr>
        <w:t>(other than Incremental Term Loans) plus the Dollar Equivalent of</w:t>
      </w:r>
      <w:r>
        <w:rPr>
          <w:rFonts w:ascii="Times New Roman;Times;Serif" w:hAnsi="Times New Roman;Times;Serif"/>
          <w:b w:val="false"/>
          <w:i w:val="false"/>
          <w:caps w:val="false"/>
          <w:smallCaps w:val="false"/>
          <w:sz w:val="20"/>
        </w:rPr>
        <w:t xml:space="preserve"> outstanding L/C Obligations shall not exceed the Aggregate Commitment then in effect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(ii</w:t>
      </w:r>
      <w:r>
        <w:rPr>
          <w:rFonts w:ascii="Times New Roman;Times;Serif" w:hAnsi="Times New Roman;Times;Serif"/>
          <w:b w:val="false"/>
          <w:i w:val="false"/>
          <w:caps w:val="false"/>
          <w:smallCaps w:val="false"/>
          <w:color w:val="0000FF"/>
          <w:sz w:val="20"/>
          <w:u w:val="single"/>
        </w:rPr>
        <w:t>) the aggregate principal amount of outstanding Swingline Loans shall not exceed the Swingline Commitment, (iii) the sum of (x) the Dollar Equivalent of the aggregate outstanding amount of all L/C Obligations denominated in Alternative Currencies and (y</w:t>
      </w:r>
      <w:r>
        <w:rPr>
          <w:rFonts w:ascii="Times New Roman;Times;Serif" w:hAnsi="Times New Roman;Times;Serif"/>
          <w:b w:val="false"/>
          <w:i w:val="false"/>
          <w:caps w:val="false"/>
          <w:smallCaps w:val="false"/>
          <w:sz w:val="20"/>
        </w:rPr>
        <w:t>) the outstanding L/C Obligations shall not</w:t>
      </w:r>
      <w:r>
        <w:rPr>
          <w:rFonts w:ascii="Times New Roman;Times;Serif" w:hAnsi="Times New Roman;Times;Serif"/>
          <w:b w:val="false"/>
          <w:i w:val="false"/>
          <w:caps w:val="false"/>
          <w:smallCaps w:val="false"/>
          <w:color w:val="0000FF"/>
          <w:sz w:val="20"/>
          <w:u w:val="single"/>
        </w:rPr>
        <w:t>, collectively,</w:t>
      </w:r>
      <w:r>
        <w:rPr>
          <w:rFonts w:ascii="Times New Roman;Times;Serif" w:hAnsi="Times New Roman;Times;Serif"/>
          <w:b w:val="false"/>
          <w:i w:val="false"/>
          <w:caps w:val="false"/>
          <w:smallCaps w:val="false"/>
          <w:sz w:val="20"/>
        </w:rPr>
        <w:t xml:space="preserve"> exceed the Letter of Credit Sublimit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 (iv) the Dollar Equivalent of the aggregate outstanding amount of Loans (other than Incremental Term Loans) and L/C Obligations denominated in Alternative Currencies shall not exceed the Alternative Currency Sublimit, (v) the Alternative Currency Exposure of any Alternative Currency Lender shall not exceed such Alternative Currency Lender’s Alternative Currency Commitment, (vi) no Advance denominated in an Alternative Currency shall be made unless the applicable Borrower is an Alternative Currency Borrower and the funding Lenders are Alternative Currency Lenders, (vii) no Swingline Loan shall be made unless the applicable Borrower is the US Borrower and such Swingline Loan is denominated in Dollars, (viii) each such Advance or Letter of Credit shall be denominated only in an Approved Currency, (ix) notwithstanding anything herein to the contrary, each Incremental Term Loan shall be denominated only in Dollars and shall satisfy the conditions set forth in Section 2.24(II); and (x) no Advance denominated in Dollars shall be made to any UK Borrower (it being understood that the UK Borrowers may only borrow Alternative Currency Loans denominated in Non-USD Approved Currencies from Alternative Currency Lenders in accordance with their respective Alternative Currency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issuance of a Letter of Credit is requested, (i) all conditions set forth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shall have been satisfied and (ii) there shall exist no Lender that is a Defaulting Lender unless the L/C Issuer has entered into satisfactory arrangements with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such Defaulting Lender to eliminate the L/C Issuer’s risk with respect to such Defaulting Lender’s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Borrowing Notice with respect to each such Advance shall constitute a representation and warranty by the Borrower </w:t>
      </w:r>
      <w:r>
        <w:rPr>
          <w:rFonts w:ascii="Times New Roman;Times;Serif" w:hAnsi="Times New Roman;Times;Serif"/>
          <w:b w:val="false"/>
          <w:i w:val="false"/>
          <w:caps w:val="false"/>
          <w:smallCaps w:val="false"/>
          <w:color w:val="0000FF"/>
          <w:sz w:val="20"/>
          <w:u w:val="single"/>
        </w:rPr>
        <w:t xml:space="preserve">Representative on behalf of the Borrowers </w:t>
      </w:r>
      <w:r>
        <w:rPr>
          <w:rFonts w:ascii="Times New Roman;Times;Serif" w:hAnsi="Times New Roman;Times;Serif"/>
          <w:b w:val="false"/>
          <w:i w:val="false"/>
          <w:caps w:val="false"/>
          <w:smallCaps w:val="false"/>
          <w:sz w:val="20"/>
        </w:rPr>
        <w:t xml:space="preserve">that the conditions contained in </w:t>
      </w:r>
      <w:r>
        <w:rPr>
          <w:rFonts w:ascii="Times New Roman;Times;Serif" w:hAnsi="Times New Roman;Times;Serif"/>
          <w:b w:val="false"/>
          <w:i w:val="false"/>
          <w:caps w:val="false"/>
          <w:smallCaps w:val="false"/>
          <w:sz w:val="20"/>
          <w:u w:val="single"/>
        </w:rPr>
        <w:t>Sections 4.3(a)</w:t>
      </w:r>
      <w:r>
        <w:rPr>
          <w:rFonts w:ascii="Times New Roman;Times;Serif" w:hAnsi="Times New Roman;Times;Serif"/>
          <w:b w:val="false"/>
          <w:i w:val="false"/>
          <w:caps w:val="false"/>
          <w:smallCaps w:val="false"/>
          <w:strike/>
          <w:color w:val="FF0000"/>
          <w:sz w:val="20"/>
        </w:rPr>
        <w:t> 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color w:val="0000FF"/>
          <w:sz w:val="20"/>
          <w:u w:val="single"/>
        </w:rPr>
        <w:t> and (c) </w:t>
      </w:r>
      <w:r>
        <w:rPr>
          <w:rFonts w:ascii="Times New Roman;Times;Serif" w:hAnsi="Times New Roman;Times;Serif"/>
          <w:b w:val="false"/>
          <w:i w:val="false"/>
          <w:caps w:val="false"/>
          <w:smallCaps w:val="false"/>
          <w:sz w:val="20"/>
        </w:rPr>
        <w:t>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Commencing on the Closing Date (except for the representations and warranties contained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with respect to each Loan Party that is party hereto on the Effective Date, which representations and warranties are also made on the Effective Date with respect to such Loan Parties), each Loan Party represents and warrants to the Lenders that </w:t>
      </w:r>
      <w:r>
        <w:rPr>
          <w:rFonts w:ascii="Times New Roman;Times;Serif" w:hAnsi="Times New Roman;Times;Serif"/>
          <w:b w:val="false"/>
          <w:i w:val="false"/>
          <w:caps w:val="false"/>
          <w:smallCaps w:val="false"/>
          <w:color w:val="0000FF"/>
          <w:sz w:val="20"/>
          <w:u w:val="single"/>
        </w:rPr>
        <w:t>(in the case of any Loan Party incorporated under the laws of England and Wales, in respect of Sections 5.1, 5.2, 5.3 and 5.14, subject to the Legal Reservations)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Existence and Standing</w:t>
      </w:r>
      <w:r>
        <w:rPr>
          <w:rFonts w:ascii="Times New Roman;Times;Serif" w:hAnsi="Times New Roman;Times;Serif"/>
          <w:b w:val="false"/>
          <w:i w:val="false"/>
          <w:caps w:val="false"/>
          <w:smallCaps w:val="false"/>
          <w:sz w:val="20"/>
        </w:rPr>
        <w:t xml:space="preserve">. Each of the Loan Parties and their Subsidiaries is (i) a corporation, partnership or limited liability company duly and properly incorporated or organized, as the case may be, validly existing and (to the extent such concept applies to such entity), (ii) in good standing under the laws of its jurisdiction of incorporation or organization and (iii) has all requisite authority to conduct its business in each jurisdiction in which its business is conducted, except,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(with respect to any Loan Party other than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above, to the extent that the failure to be in good standing or so qualified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Authorization and Validity</w:t>
      </w:r>
      <w:r>
        <w:rPr>
          <w:rFonts w:ascii="Times New Roman;Times;Serif" w:hAnsi="Times New Roman;Times;Serif"/>
          <w:b w:val="false"/>
          <w:i w:val="false"/>
          <w:caps w:val="false"/>
          <w:smallCaps w:val="false"/>
          <w:sz w:val="20"/>
        </w:rPr>
        <w:t xml:space="preserve">. Each Loan Party has the power and authority and legal right to execute and deliver the Loan Documents and to perform its obligations thereunder. The execution and delivery by each Loan Party of the Loan Documents to which it is a party and the performance of its obligations thereunder have been duly authorized by proper corporate proceedings, and the Loan Documents to which each Loan Party is a party constitute legal, valid and binding obligations of such Loan Party enforceable against such Loan Party in accordance with their terms, except as enforceability may be limited by bankruptcy, insolvency, fraudulent conveyance or similar laws affecting the enforcement of creditors’ rights generally and general </w:t>
      </w:r>
      <w:r>
        <w:rPr>
          <w:rFonts w:ascii="Times New Roman;Times;Serif" w:hAnsi="Times New Roman;Times;Serif"/>
          <w:b w:val="false"/>
          <w:i w:val="false"/>
          <w:caps w:val="false"/>
          <w:smallCaps w:val="false"/>
          <w:strike/>
          <w:color w:val="FF0000"/>
          <w:sz w:val="20"/>
        </w:rPr>
        <w:t>principals</w:t>
      </w:r>
      <w:r>
        <w:rPr>
          <w:rFonts w:ascii="Times New Roman;Times;Serif" w:hAnsi="Times New Roman;Times;Serif"/>
          <w:b w:val="false"/>
          <w:i w:val="false"/>
          <w:caps w:val="false"/>
          <w:smallCaps w:val="false"/>
          <w:color w:val="0000FF"/>
          <w:sz w:val="20"/>
          <w:u w:val="single"/>
        </w:rPr>
        <w:t>principles</w:t>
      </w:r>
      <w:r>
        <w:rPr>
          <w:rFonts w:ascii="Times New Roman;Times;Serif" w:hAnsi="Times New Roman;Times;Serif"/>
          <w:b w:val="false"/>
          <w:i w:val="false"/>
          <w:caps w:val="false"/>
          <w:smallCaps w:val="false"/>
          <w:sz w:val="20"/>
        </w:rPr>
        <w:t xml:space="preserve"> of equity (regardless of whether the application of such principles is considered in a proceeding at equity or at law). Each Loan Document to which it is a party has been duly executed and delivered on behalf of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 Conflict; Government Consent</w:t>
      </w:r>
      <w:r>
        <w:rPr>
          <w:rFonts w:ascii="Times New Roman;Times;Serif" w:hAnsi="Times New Roman;Times;Serif"/>
          <w:b w:val="false"/>
          <w:i w:val="false"/>
          <w:caps w:val="false"/>
          <w:smallCaps w:val="false"/>
          <w:sz w:val="20"/>
        </w:rPr>
        <w:t>. Neither the execution and delivery by each Loan Party of the Loan Documents to which it is a party, nor the consummation of the transactions therein contemplated, nor compliance with the provisions thereof will violate (a) any law, rule, regulation, order, writ, judgment, injunction, decree or award binding on the Loan Parties or any of their Subsidiaries in any material respect or (b) the Loan Parties’ or any Subsidiary’s articles or certificate of incorporation, partnership agreement, certificate of partnership, articles or certificate of organization, by-laws, or operating or other management agreement, as the case may be, or (c) the provisions of any indenture, instrument or agreement to which any Loan Party or any of its Subsidiaries is a party or is subject, or by which it, or its Property, is bound, or conflict with or constitute a default thereunder (other than such conflict or default which could not otherwise reasonably be expected to result in a Material Adverse Effect), or result in, or require, the creation or imposition of any Lien in, of or on the Property of a Loan Party or a Subsidiary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the Loan Parties or any of their Subsidiaries, is required to be obtained by the Loan Parties or any of their Subsidiaries in connection with the execution and delivery of the Loan Documents, the borrowings under this Agreement, the payment and performance by the Loan Parties of the Obligations or the legality, validity, binding effect or enforceability of any of the Loan Documents other than any of the foregoing which have been obtained or any of the foregoing which are immaterial to the conduct of the business of the Loan Parties and their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(a) The audited consolidated financial statements of the Borrower and its Subsidiaries (excluding Cash America and its Subsidiaries) for the fiscal year ended December 31, 2015, together with the related consolidated statements of income or operations, equity and cash flows for the fiscal year ended on such date and (b) the unaudited consolidated financial statements of the Borrower and its Subsidiaries (excluding Cash America and its Subsidiaries) for the year-to-date period ending on the last day of the quarter that ended March 31, 2016, together with the related consolidated </w:t>
      </w:r>
      <w:r>
        <w:rPr>
          <w:rFonts w:ascii="Times New Roman;Times;Serif" w:hAnsi="Times New Roman;Times;Serif"/>
          <w:b w:val="false"/>
          <w:i w:val="false"/>
          <w:caps w:val="false"/>
          <w:smallCaps w:val="false"/>
          <w:color w:val="0000FF"/>
          <w:sz w:val="20"/>
          <w:u w:val="single"/>
        </w:rPr>
        <w:t xml:space="preserve">statements </w:t>
      </w:r>
      <w:r>
        <w:rPr>
          <w:rFonts w:ascii="Times New Roman;Times;Serif" w:hAnsi="Times New Roman;Times;Serif"/>
          <w:b w:val="false"/>
          <w:i w:val="false"/>
          <w:caps w:val="false"/>
          <w:smallCaps w:val="false"/>
          <w:sz w:val="20"/>
        </w:rPr>
        <w:t>of income or operations, equity and cash flows for the year-to-date period ending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were prepared in accordance with GAAP consistently applied throughout the period covered thereby, except as otherwise expressly noted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fairly present in all material respects the financial condition of the Borrower and its Subsidiaries, as applicable, as of the date thereof (subject, in the case of the unaudited financial statements, to normal year-end adjustments) and results of operations for the period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 xml:space="preserve">Material Adverse </w:t>
      </w:r>
      <w:r>
        <w:rPr>
          <w:rFonts w:ascii="Times New Roman;Times;Serif" w:hAnsi="Times New Roman;Times;Serif"/>
          <w:b w:val="false"/>
          <w:i w:val="false"/>
          <w:caps w:val="false"/>
          <w:smallCaps w:val="false"/>
          <w:strike/>
          <w:color w:val="FF0000"/>
          <w:sz w:val="20"/>
          <w:u w:val="single"/>
        </w:rPr>
        <w:t>Change</w:t>
      </w:r>
      <w:r>
        <w:rPr>
          <w:rFonts w:ascii="Times New Roman;Times;Serif" w:hAnsi="Times New Roman;Times;Serif"/>
          <w:b w:val="false"/>
          <w:i w:val="false"/>
          <w:caps w:val="false"/>
          <w:smallCaps w:val="false"/>
          <w:color w:val="0000FF"/>
          <w:sz w:val="20"/>
          <w:u w:val="single"/>
        </w:rPr>
        <w:t>Effect</w:t>
      </w:r>
      <w:r>
        <w:rPr>
          <w:rFonts w:ascii="Times New Roman;Times;Serif" w:hAnsi="Times New Roman;Times;Serif"/>
          <w:b w:val="false"/>
          <w:i w:val="false"/>
          <w:caps w:val="false"/>
          <w:smallCaps w:val="false"/>
          <w:sz w:val="20"/>
        </w:rPr>
        <w:t>. Since December 31, 2015, there has been no event, development or circumstance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Other than as could not be expected to result in a Material Adverse Effect, the Loan Parties and their Subsidiaries have filed all tax returns which are required to be filed and have paid all taxes due pursuant to said returns or pursuant to any assessment received by the Loan Parties or any of their Subsidiaries, except such taxes, if any, (a) that are not yet delinquent or (b) as are being contested in good faith and as to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litigation, arbitration, governmental investigation, proceeding or inquiry pending or, to the knowledge of any of their Authorized Officers, threatened against or affecting Loan Parties or any of their Subsidiaries which could reasonably be expected to have a Material Adverse Effect or which seeks to prevent, enjoin or delay the making of 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contains an accurate list of all Subsidiaries of the Borrower as of the Effective Date (and, after giving effect to the update required pursuant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as of the Closing Date), setting forth their respective jurisdictions of organization and the percentage of their respective capital stock or other ownership interests owned by the Borrower or other Subsidiaries. As of the Closing Date, all of the issued and outstanding shares of capital stock or other ownership interests of such Subsidiaries have been (to the extent such concepts are relevant with respect to such ownership interests) duly authorized and issued and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Each Plan complies in all material respects with all applicable requirements of law and regulations. Except as would not otherwise be expected to result in a Material Adverse Effect, no Reportable Event has occurred with respect to any Plan, neither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nor any ERISA Affiliate has withdrawn from any Plan or initiated steps to do so and no steps have been taken to reorganize or terminate any Plan. During the five-year period prior to the date on which this representation is made or deemed made, no Lien imposed under the Code or ERISA in favor of the PBGC or a Plan has arisen. Neither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nor any ERISA Affiliate is currently subject to any liability for a complete or partial withdrawal from a Multiemployer Plan that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No written information (other than any projections, other forward looking statements and information of a general economic or industry specific nature), exhibit or written report furnished by the Loan Parties or any of their Subsidiaries to the Agent or to any Lender in connection with the negotiation of, or compliance with, the Loan Documents contained any material misstatement of fact or omitted to state a material fact or any fact necessary to make the statements contained therein, taken as a whole, not materially misleading (after giving effect to all supplements and updates thereto from time to time) in light of the circumstances in which the same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xml:space="preserve">. No part of the proceeds of any extension of credit hereunder will be used directly or indirectly for any purpose that violates, or that would require any Lender to make any filings in accordance with, the provisions of Regulation T, U or X of the Board of Governors of the Federal Reserve System as now and from time to time hereafter in effect. The Loan Parties and their Subsidiaries (a) are not engaged, principally or as one of their important activities, in the business of extending credit for the purpose of “purchasing” or “carrying” “margin stock” within the respective meanings of each of such terms under Regulation U and (b) taken as a group do not own “margin stock” except as identified in the financial statements referred to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or delivered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the aggregate value of all “margin stock” owned by the Loan Parties and their Subsidiaries taken as a group does not exceed 25% of the value of their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Neither any Loan Party nor any Subsidiary is in default in the performance, observance or fulfillment of any of the obligations, covenants or conditions contained in any agreement to which it is a party, which default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Loan Parties and their Subsidiaries have complied with all applicable statutes, rules, regulations, orders and restrictions of any domestic or foreign government or any instrumentality or agency thereof having jurisdiction over the conduct of their respective businesses or the ownership of their respective Property (including, without limitation, (i) all federal and state registrations required by anti-money laundering Laws, (ii) the provisions of the Texas Pawnshop Act (Chapter 371 of the Texas Finance Code), (iii) the provisions of the Brady Act and (iv) the consumer loan provisions of the Texas Finance Code), in each case, except to the extent that the failure to so comply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Ownership of Properties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on the Closing Date, the Loan Parties and their Subsidiaries will have good title (except for such defects in title as could not reasonably be expected to result in a Material Adverse Effect), free of all Liens other than those permitted by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to all of the Property and assets material to the conduct of the Loan Parties and their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Plan Assets; Prohibited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No</w:t>
      </w:r>
      <w:r>
        <w:rPr>
          <w:rFonts w:ascii="Times New Roman;Times;Serif" w:hAnsi="Times New Roman;Times;Serif"/>
          <w:b w:val="false"/>
          <w:i w:val="false"/>
          <w:caps w:val="false"/>
          <w:smallCaps w:val="false"/>
          <w:sz w:val="20"/>
        </w:rPr>
        <w:t xml:space="preserve"> Borrower is </w:t>
      </w:r>
      <w:r>
        <w:rPr>
          <w:rFonts w:ascii="Times New Roman;Times;Serif" w:hAnsi="Times New Roman;Times;Serif"/>
          <w:b w:val="false"/>
          <w:i w:val="false"/>
          <w:caps w:val="false"/>
          <w:smallCaps w:val="false"/>
          <w:strike/>
          <w:color w:val="FF0000"/>
          <w:sz w:val="20"/>
        </w:rPr>
        <w:t xml:space="preserve">not </w:t>
      </w:r>
      <w:r>
        <w:rPr>
          <w:rFonts w:ascii="Times New Roman;Times;Serif" w:hAnsi="Times New Roman;Times;Serif"/>
          <w:b w:val="false"/>
          <w:i w:val="false"/>
          <w:caps w:val="false"/>
          <w:smallCaps w:val="false"/>
          <w:sz w:val="20"/>
        </w:rPr>
        <w:t>an entity deemed to hold “plan assets” (within the meaning of 29 C.F.R. 2510.3-101) of an “employee benefit plan” (as defined in Section 3(3) of ERISA) which is subject to Title I of ERISA or any plan (within the meaning of Section 4975 of the Code), and neither the execution of this Agreement nor the making of Loans hereunder gives rise to a “prohibited transaction” (within the meaning of Section 406 of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Loan Parties and their Subsidiaries are in compliance with Environmental Laws, except to the extent that the failure to comply could not reasonably be expected to have a Material Adverse Effect. Neither any Loan Party nor any Subsidiary has received any notice to the effect that its operations are not in material compliance with any of the requirements of applicable Environmental Laws or are the subject of any federal or state investigation evaluating whether any remedial action is needed to respond to a release of any toxic or hazardous waste or substance into the environment, which non-compliance or remedial action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The Obligations constitute “senior indebtedness” as such term (or similar term) is defined in any documentation evidencing any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insurance coverage of the Loan Parties and their Subsidiaries complies with the requirements set forth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Loan Parties, taken as a whole, are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Compliance with FCPA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Loan Parties and their Subsidiaries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is in compliance with the Foreign Corrupt Practices Act, 15 U.S.C. §§ 78dd-1,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any foreign counterpart thereto</w:t>
      </w:r>
      <w:r>
        <w:rPr>
          <w:rFonts w:ascii="Times New Roman;Times;Serif" w:hAnsi="Times New Roman;Times;Serif"/>
          <w:b w:val="false"/>
          <w:i w:val="false"/>
          <w:caps w:val="false"/>
          <w:smallCaps w:val="false"/>
          <w:color w:val="0000FF"/>
          <w:sz w:val="20"/>
          <w:u w:val="single"/>
        </w:rPr>
        <w:t>, and all other applicable anti-corruption laws, and (ii) has implemented and maintains in effect policies and procedures reasonably designed to promote compliance, in all material respects, with such laws and applicable Sanctions</w:t>
      </w:r>
      <w:r>
        <w:rPr>
          <w:rFonts w:ascii="Times New Roman;Times;Serif" w:hAnsi="Times New Roman;Times;Serif"/>
          <w:b w:val="false"/>
          <w:i w:val="false"/>
          <w:caps w:val="false"/>
          <w:smallCaps w:val="false"/>
          <w:sz w:val="20"/>
        </w:rPr>
        <w:t xml:space="preserve">. None of the Loan Parties or their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Loan Party or its Subsidiary or to any other Person, in each case, in violation of the Foreign Corrupt Practices Act, 15 U.S.C. §§ 78dd-1,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val="false"/>
          <w:i w:val="false"/>
          <w:caps w:val="false"/>
          <w:smallCaps w:val="false"/>
          <w:sz w:val="20"/>
          <w:u w:val="single"/>
        </w:rPr>
        <w:t>Investment Company Act;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is an “investment company”, or a company “controlled” by an “investment company”, within the meaning of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w:t>
      </w:r>
      <w:r>
        <w:rPr>
          <w:rFonts w:ascii="Times New Roman;Times;Serif" w:hAnsi="Times New Roman;Times;Serif"/>
          <w:b w:val="false"/>
          <w:i w:val="false"/>
          <w:caps w:val="false"/>
          <w:smallCaps w:val="false"/>
          <w:sz w:val="20"/>
          <w:u w:val="single"/>
        </w:rPr>
        <w:t>USA PATRIOT ACT NOTIFICATION; 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and the Agent (for itself and not on behalf of any other party) hereby notifies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that, pursuant to the requirements of the Patriot Act, it is required to obtain, verify and record information that identifies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other Loan Parties, which information includes the name and address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other Loan Parties and other information that will allow such Lender or the Agent, as applicable, to identify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other Loan Parties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nor any of </w:t>
      </w:r>
      <w:r>
        <w:rPr>
          <w:rFonts w:ascii="Times New Roman;Times;Serif" w:hAnsi="Times New Roman;Times;Serif"/>
          <w:b w:val="false"/>
          <w:i w:val="false"/>
          <w:caps w:val="false"/>
          <w:smallCaps w:val="false"/>
          <w:strike/>
          <w:color w:val="FF0000"/>
          <w:sz w:val="20"/>
        </w:rPr>
        <w:t>its</w:t>
      </w:r>
      <w:r>
        <w:rPr>
          <w:rFonts w:ascii="Times New Roman;Times;Serif" w:hAnsi="Times New Roman;Times;Serif"/>
          <w:b w:val="false"/>
          <w:i w:val="false"/>
          <w:caps w:val="false"/>
          <w:smallCaps w:val="false"/>
          <w:color w:val="0000FF"/>
          <w:sz w:val="20"/>
          <w:u w:val="single"/>
        </w:rPr>
        <w:t>their respective</w:t>
      </w:r>
      <w:r>
        <w:rPr>
          <w:rFonts w:ascii="Times New Roman;Times;Serif" w:hAnsi="Times New Roman;Times;Serif"/>
          <w:b w:val="false"/>
          <w:i w:val="false"/>
          <w:caps w:val="false"/>
          <w:smallCaps w:val="false"/>
          <w:sz w:val="20"/>
        </w:rPr>
        <w:t xml:space="preserve"> Subsidiaries or, to the knowledge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any of their respective </w:t>
      </w:r>
      <w:r>
        <w:rPr>
          <w:rFonts w:ascii="Times New Roman;Times;Serif" w:hAnsi="Times New Roman;Times;Serif"/>
          <w:b w:val="false"/>
          <w:i w:val="false"/>
          <w:caps w:val="false"/>
          <w:smallCaps w:val="false"/>
          <w:color w:val="0000FF"/>
          <w:sz w:val="20"/>
          <w:u w:val="single"/>
        </w:rPr>
        <w:t xml:space="preserve">directors, officers, and </w:t>
      </w:r>
      <w:r>
        <w:rPr>
          <w:rFonts w:ascii="Times New Roman;Times;Serif" w:hAnsi="Times New Roman;Times;Serif"/>
          <w:b w:val="false"/>
          <w:i w:val="false"/>
          <w:caps w:val="false"/>
          <w:smallCaps w:val="false"/>
          <w:sz w:val="20"/>
        </w:rPr>
        <w:t>Affiliates over which any of the foregoing exercises management control (each, a “</w:t>
      </w:r>
      <w:r>
        <w:rPr>
          <w:rFonts w:ascii="Times New Roman;Times;Serif" w:hAnsi="Times New Roman;Times;Serif"/>
          <w:b w:val="false"/>
          <w:i w:val="false"/>
          <w:caps w:val="false"/>
          <w:smallCaps w:val="false"/>
          <w:sz w:val="20"/>
          <w:u w:val="single"/>
        </w:rPr>
        <w:t>Controlled Affiliate</w:t>
      </w:r>
      <w:r>
        <w:rPr>
          <w:rFonts w:ascii="Times New Roman;Times;Serif" w:hAnsi="Times New Roman;Times;Serif"/>
          <w:b w:val="false"/>
          <w:i w:val="false"/>
          <w:caps w:val="false"/>
          <w:smallCaps w:val="false"/>
          <w:sz w:val="20"/>
        </w:rPr>
        <w:t xml:space="preserve">”) is a Prohibited Person, and the Loan Parties, their Subsidiaries and, to the knowledge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such Controlled Affiliates are in compliance with all applicable orders, rules and regulations of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the Loan Parties nor any of their Subsidiaries or, to the knowledge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any of their respective Affiliates: (i) is targeted by United States or multilateral economic or trade sanctions currently in force</w:t>
      </w:r>
      <w:r>
        <w:rPr>
          <w:rFonts w:ascii="Times New Roman;Times;Serif" w:hAnsi="Times New Roman;Times;Serif"/>
          <w:b w:val="false"/>
          <w:i w:val="false"/>
          <w:caps w:val="false"/>
          <w:smallCaps w:val="false"/>
          <w:color w:val="0000FF"/>
          <w:sz w:val="20"/>
          <w:u w:val="single"/>
        </w:rPr>
        <w:t>, including sanctions administered or enforced from time to time by (A) the U.S. government, including those administered by OFAC and the U.S. Department of State, (B) the United Nations Security Council, (C) the European Union, (D) His Majesty’s Treasury, or (E) other relevant sanctions authority (“Sanctions”)</w:t>
      </w:r>
      <w:r>
        <w:rPr>
          <w:rFonts w:ascii="Times New Roman;Times;Serif" w:hAnsi="Times New Roman;Times;Serif"/>
          <w:b w:val="false"/>
          <w:i w:val="false"/>
          <w:caps w:val="false"/>
          <w:smallCaps w:val="false"/>
          <w:sz w:val="20"/>
        </w:rPr>
        <w:t xml:space="preserve">; (ii) is owned or controlled by, or acts on behalf of, any Person that is targeted by </w:t>
      </w:r>
      <w:r>
        <w:rPr>
          <w:rFonts w:ascii="Times New Roman;Times;Serif" w:hAnsi="Times New Roman;Times;Serif"/>
          <w:b w:val="false"/>
          <w:i w:val="false"/>
          <w:caps w:val="false"/>
          <w:smallCaps w:val="false"/>
          <w:strike/>
          <w:color w:val="FF0000"/>
          <w:sz w:val="20"/>
        </w:rPr>
        <w:t>United States or multilateral economic or trade sanctions</w:t>
      </w:r>
      <w:r>
        <w:rPr>
          <w:rFonts w:ascii="Times New Roman;Times;Serif" w:hAnsi="Times New Roman;Times;Serif"/>
          <w:b w:val="false"/>
          <w:i w:val="false"/>
          <w:caps w:val="false"/>
          <w:smallCaps w:val="false"/>
          <w:color w:val="0000FF"/>
          <w:sz w:val="20"/>
          <w:u w:val="single"/>
        </w:rPr>
        <w:t>Sanctions</w:t>
      </w:r>
      <w:r>
        <w:rPr>
          <w:rFonts w:ascii="Times New Roman;Times;Serif" w:hAnsi="Times New Roman;Times;Serif"/>
          <w:b w:val="false"/>
          <w:i w:val="false"/>
          <w:caps w:val="false"/>
          <w:smallCaps w:val="false"/>
          <w:sz w:val="20"/>
        </w:rPr>
        <w:t xml:space="preserve"> currently in force; (iii) is </w:t>
      </w:r>
      <w:r>
        <w:rPr>
          <w:rFonts w:ascii="Times New Roman;Times;Serif" w:hAnsi="Times New Roman;Times;Serif"/>
          <w:b w:val="false"/>
          <w:i w:val="false"/>
          <w:caps w:val="false"/>
          <w:smallCaps w:val="false"/>
          <w:color w:val="0000FF"/>
          <w:sz w:val="20"/>
          <w:u w:val="single"/>
        </w:rPr>
        <w:t xml:space="preserve">located, organized or resident in a country or territory that is the subject of Sanctions; (iv) is </w:t>
      </w:r>
      <w:r>
        <w:rPr>
          <w:rFonts w:ascii="Times New Roman;Times;Serif" w:hAnsi="Times New Roman;Times;Serif"/>
          <w:b w:val="false"/>
          <w:i w:val="false"/>
          <w:caps w:val="false"/>
          <w:smallCaps w:val="false"/>
          <w:sz w:val="20"/>
        </w:rPr>
        <w:t>a Prohibited Person; or (</w:t>
      </w: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xml:space="preserve">) is named, identified or described on any list of Persons with whom United States Persons may not conduct business, including any such blocked persons list, designated nationals list, denied persons list, entity list, debarred party list, unverified list, </w:t>
      </w:r>
      <w:r>
        <w:rPr>
          <w:rFonts w:ascii="Times New Roman;Times;Serif" w:hAnsi="Times New Roman;Times;Serif"/>
          <w:b w:val="false"/>
          <w:i w:val="false"/>
          <w:caps w:val="false"/>
          <w:smallCaps w:val="false"/>
          <w:strike/>
          <w:color w:val="FF0000"/>
          <w:sz w:val="20"/>
        </w:rPr>
        <w:t>sanctions</w:t>
      </w:r>
      <w:r>
        <w:rPr>
          <w:rFonts w:ascii="Times New Roman;Times;Serif" w:hAnsi="Times New Roman;Times;Serif"/>
          <w:b w:val="false"/>
          <w:i w:val="false"/>
          <w:caps w:val="false"/>
          <w:smallCaps w:val="false"/>
          <w:color w:val="0000FF"/>
          <w:sz w:val="20"/>
          <w:u w:val="single"/>
        </w:rPr>
        <w:t>Sanctions</w:t>
      </w:r>
      <w:r>
        <w:rPr>
          <w:rFonts w:ascii="Times New Roman;Times;Serif" w:hAnsi="Times New Roman;Times;Serif"/>
          <w:b w:val="false"/>
          <w:i w:val="false"/>
          <w:caps w:val="false"/>
          <w:smallCaps w:val="false"/>
          <w:sz w:val="20"/>
        </w:rPr>
        <w:t xml:space="preserve"> list or other such lists published or maintained by the United States, including OFAC, the United States Department of Commerce or the United States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w:t>
      </w:r>
      <w:r>
        <w:rPr>
          <w:rFonts w:ascii="Times New Roman;Times;Serif" w:hAnsi="Times New Roman;Times;Serif"/>
          <w:b w:val="false"/>
          <w:i w:val="false"/>
          <w:caps w:val="false"/>
          <w:smallCaps w:val="false"/>
          <w:sz w:val="20"/>
          <w:u w:val="single"/>
        </w:rPr>
        <w:t>Embargoed Person</w:t>
      </w:r>
      <w:r>
        <w:rPr>
          <w:rFonts w:ascii="Times New Roman;Times;Serif" w:hAnsi="Times New Roman;Times;Serif"/>
          <w:b w:val="false"/>
          <w:i w:val="false"/>
          <w:caps w:val="false"/>
          <w:smallCaps w:val="false"/>
          <w:sz w:val="20"/>
        </w:rPr>
        <w:t xml:space="preserve">. (a) None of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assets constitute property of, or are beneficially owned, directly or indirectly, by any Person targeted by </w:t>
      </w:r>
      <w:r>
        <w:rPr>
          <w:rFonts w:ascii="Times New Roman;Times;Serif" w:hAnsi="Times New Roman;Times;Serif"/>
          <w:b w:val="false"/>
          <w:i w:val="false"/>
          <w:caps w:val="false"/>
          <w:smallCaps w:val="false"/>
          <w:strike/>
          <w:color w:val="FF0000"/>
          <w:sz w:val="20"/>
        </w:rPr>
        <w:t>economic or trade sanctions under US law</w:t>
      </w:r>
      <w:r>
        <w:rPr>
          <w:rFonts w:ascii="Times New Roman;Times;Serif" w:hAnsi="Times New Roman;Times;Serif"/>
          <w:b w:val="false"/>
          <w:i w:val="false"/>
          <w:caps w:val="false"/>
          <w:smallCaps w:val="false"/>
          <w:color w:val="0000FF"/>
          <w:sz w:val="20"/>
          <w:u w:val="single"/>
        </w:rPr>
        <w:t>Sanctions</w:t>
      </w:r>
      <w:r>
        <w:rPr>
          <w:rFonts w:ascii="Times New Roman;Times;Serif" w:hAnsi="Times New Roman;Times;Serif"/>
          <w:b w:val="false"/>
          <w:i w:val="false"/>
          <w:caps w:val="false"/>
          <w:smallCaps w:val="false"/>
          <w:sz w:val="20"/>
        </w:rPr>
        <w:t>, including but not limited to, the International Emergency Economic Powers Act, 50 U.S.C. 1701 et seq., the Trading with the Enemy Act, 50 U.S.C. App. 1 et seq. (the “</w:t>
      </w:r>
      <w:r>
        <w:rPr>
          <w:rFonts w:ascii="Times New Roman;Times;Serif" w:hAnsi="Times New Roman;Times;Serif"/>
          <w:b w:val="false"/>
          <w:i w:val="false"/>
          <w:caps w:val="false"/>
          <w:smallCaps w:val="false"/>
          <w:sz w:val="20"/>
          <w:u w:val="single"/>
        </w:rPr>
        <w:t>Trading With the Enemy Act</w:t>
      </w:r>
      <w:r>
        <w:rPr>
          <w:rFonts w:ascii="Times New Roman;Times;Serif" w:hAnsi="Times New Roman;Times;Serif"/>
          <w:b w:val="false"/>
          <w:i w:val="false"/>
          <w:caps w:val="false"/>
          <w:smallCaps w:val="false"/>
          <w:sz w:val="20"/>
        </w:rPr>
        <w:t>”), any of the foreign assets control regulations of the Treasury (31 C.F.R., Subtitle B, Chapter V) (the “</w:t>
      </w:r>
      <w:r>
        <w:rPr>
          <w:rFonts w:ascii="Times New Roman;Times;Serif" w:hAnsi="Times New Roman;Times;Serif"/>
          <w:b w:val="false"/>
          <w:i w:val="false"/>
          <w:caps w:val="false"/>
          <w:smallCaps w:val="false"/>
          <w:sz w:val="20"/>
          <w:u w:val="single"/>
        </w:rPr>
        <w:t>Foreign Assets Control Regulations</w:t>
      </w:r>
      <w:r>
        <w:rPr>
          <w:rFonts w:ascii="Times New Roman;Times;Serif" w:hAnsi="Times New Roman;Times;Serif"/>
          <w:b w:val="false"/>
          <w:i w:val="false"/>
          <w:caps w:val="false"/>
          <w:smallCaps w:val="false"/>
          <w:sz w:val="20"/>
        </w:rPr>
        <w:t>”) or any enabling legislation or regulations promulgated thereunder or executive order relating thereto (which includes, without limitation, (i) Executive Order No. 13224, effective as of September 24, 2001, and relating to Blocking Property and Prohibiting Transactions With Persons Who Commit, Threaten to Commit, or Support Terrorism (66 Fed. Reg. 49079 (2001)) (the “</w:t>
      </w:r>
      <w:r>
        <w:rPr>
          <w:rFonts w:ascii="Times New Roman;Times;Serif" w:hAnsi="Times New Roman;Times;Serif"/>
          <w:b w:val="false"/>
          <w:i w:val="false"/>
          <w:caps w:val="false"/>
          <w:smallCaps w:val="false"/>
          <w:sz w:val="20"/>
          <w:u w:val="single"/>
        </w:rPr>
        <w:t>Executive Order</w:t>
      </w:r>
      <w:r>
        <w:rPr>
          <w:rFonts w:ascii="Times New Roman;Times;Serif" w:hAnsi="Times New Roman;Times;Serif"/>
          <w:b w:val="false"/>
          <w:i w:val="false"/>
          <w:caps w:val="false"/>
          <w:smallCaps w:val="false"/>
          <w:sz w:val="20"/>
        </w:rPr>
        <w:t xml:space="preserve">”) and (ii) the USA </w:t>
      </w:r>
      <w:r>
        <w:rPr>
          <w:rFonts w:ascii="Times New Roman;Times;Serif" w:hAnsi="Times New Roman;Times;Serif"/>
          <w:b w:val="false"/>
          <w:i w:val="false"/>
          <w:caps w:val="false"/>
          <w:smallCaps w:val="false"/>
          <w:strike/>
          <w:color w:val="FF0000"/>
          <w:sz w:val="20"/>
        </w:rPr>
        <w:t>PATRIOT</w:t>
      </w:r>
      <w:r>
        <w:rPr>
          <w:rFonts w:ascii="Times New Roman;Times;Serif" w:hAnsi="Times New Roman;Times;Serif"/>
          <w:b w:val="false"/>
          <w:i w:val="false"/>
          <w:caps w:val="false"/>
          <w:smallCaps w:val="false"/>
          <w:color w:val="0000FF"/>
          <w:sz w:val="20"/>
          <w:u w:val="single"/>
        </w:rPr>
        <w:t>Patriot</w:t>
      </w:r>
      <w:r>
        <w:rPr>
          <w:rFonts w:ascii="Times New Roman;Times;Serif" w:hAnsi="Times New Roman;Times;Serif"/>
          <w:b w:val="false"/>
          <w:i w:val="false"/>
          <w:caps w:val="false"/>
          <w:smallCaps w:val="false"/>
          <w:sz w:val="20"/>
        </w:rPr>
        <w:t xml:space="preserve"> Act, if the result of such ownership would be that any Loan made by any Lender would be in violation of law (“</w:t>
      </w:r>
      <w:r>
        <w:rPr>
          <w:rFonts w:ascii="Times New Roman;Times;Serif" w:hAnsi="Times New Roman;Times;Serif"/>
          <w:b w:val="false"/>
          <w:i w:val="false"/>
          <w:caps w:val="false"/>
          <w:smallCaps w:val="false"/>
          <w:sz w:val="20"/>
          <w:u w:val="single"/>
        </w:rPr>
        <w:t>Embargoed Person</w:t>
      </w:r>
      <w:r>
        <w:rPr>
          <w:rFonts w:ascii="Times New Roman;Times;Serif" w:hAnsi="Times New Roman;Times;Serif"/>
          <w:b w:val="false"/>
          <w:i w:val="false"/>
          <w:caps w:val="false"/>
          <w:smallCaps w:val="false"/>
          <w:sz w:val="20"/>
        </w:rPr>
        <w:t xml:space="preserve">”)); (b) neither any Loan Party nor any of its Subsidiaries is an “enemy” or an “ally of the enemy” within the meaning of Section 2 of the Trading with the Enemy Act, (c) no Embargoed Person has any interest of any nature whatsoever in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if the result of such interest would be that any Loan would be in violation of law; (d) the </w:t>
      </w:r>
      <w:r>
        <w:rPr>
          <w:rFonts w:ascii="Times New Roman;Times;Serif" w:hAnsi="Times New Roman;Times;Serif"/>
          <w:b w:val="false"/>
          <w:i w:val="false"/>
          <w:caps w:val="false"/>
          <w:smallCaps w:val="false"/>
          <w:strike/>
          <w:color w:val="FF0000"/>
          <w:sz w:val="20"/>
        </w:rPr>
        <w:t>Borrower has</w:t>
      </w:r>
      <w:r>
        <w:rPr>
          <w:rFonts w:ascii="Times New Roman;Times;Serif" w:hAnsi="Times New Roman;Times;Serif"/>
          <w:b w:val="false"/>
          <w:i w:val="false"/>
          <w:caps w:val="false"/>
          <w:smallCaps w:val="false"/>
          <w:color w:val="0000FF"/>
          <w:sz w:val="20"/>
          <w:u w:val="single"/>
        </w:rPr>
        <w:t>Borrowers have</w:t>
      </w:r>
      <w:r>
        <w:rPr>
          <w:rFonts w:ascii="Times New Roman;Times;Serif" w:hAnsi="Times New Roman;Times;Serif"/>
          <w:b w:val="false"/>
          <w:i w:val="false"/>
          <w:caps w:val="false"/>
          <w:smallCaps w:val="false"/>
          <w:sz w:val="20"/>
        </w:rPr>
        <w:t xml:space="preserve"> not engaged in business with Embargoed Persons if the result of such business would be that any Loan made by any Lender would be in violation of law; and (e) neither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nor any Controlled Affiliate (i) is or will become a “blocked person” as described in the Executive Order, the Trading With the Enemy Act or the Foreign Assets Control Regulations or (ii) engages or will engage in any dealings or transactions, or be otherwise associated, with any such “blocked person”. For purposes of determining whether or not a representation is true or a covenant is being complied with under this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not be required to make any investigation into (i) the ownership of publicly traded stock or other publicly traded securities or (ii) the beneficial ownership of any collective investment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Closing Date (other than Sections 6.3 and 6.4, which shall be from the Effective Date) until the date on which all of the Obligations are Paid in Full, unless the Required Lenders shall otherwise consent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Financial Reporting</w:t>
      </w:r>
      <w:r>
        <w:rPr>
          <w:rFonts w:ascii="Times New Roman;Times;Serif" w:hAnsi="Times New Roman;Times;Serif"/>
          <w:b w:val="false"/>
          <w:i w:val="false"/>
          <w:caps w:val="false"/>
          <w:smallCaps w:val="false"/>
          <w:sz w:val="20"/>
        </w:rPr>
        <w:t>. The Loan Parties will maintain, for itself and each Subsidiary, a system of accounting established and administered in accordance in all material respects with generally accepted accounting principles, and furnish to the Agent (for distribution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ninety (90) days after the close of each of its fiscal years, an audit report (which shall not be subject to any “going concern” or like qualification or exception or any qualification or exception as to the scope of such audit) certified by Hein &amp; Associates, LLP or any other independent registered public accounting firm of nationally recognized standing, prepared in accordance with GAAP on a consolidated basis for itself and its Subsidiaries, including balance sheets as of the end of such period, related consolidated statements of income, changes in stockholder equity, comprehensive income and cash flows, in each case setting forth in comparative form the figures for the preceding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forty-five (45) days after the close of the first three quarterly periods of each of its fiscal years, for itself and its Subsidiaries, consolidated unaudited balance sheets as at the close of each such period and consolidated statement of income and a statement of cash flows for the period from the beginning of such fiscal year to the end of such quarter, all certified by its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Together with the financial statements required under </w:t>
      </w:r>
      <w:r>
        <w:rPr>
          <w:rFonts w:ascii="Times New Roman;Times;Serif" w:hAnsi="Times New Roman;Times;Serif"/>
          <w:b w:val="false"/>
          <w:i w:val="false"/>
          <w:caps w:val="false"/>
          <w:smallCaps w:val="false"/>
          <w:sz w:val="20"/>
          <w:u w:val="single"/>
        </w:rPr>
        <w:t>Sections 6.1(a)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 Compliance Certificate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signed by its chief financial officer showing the calculations necessary to determine compliance with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of this Agreement and stating that no Default or Unmatured Default exists, or if any Default or Unmatured Default exists, stating the nature and status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soon as possible and in any event within ten (10) days after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knows that any Reportable Event has occurred with respect to any Plan, a statement, signed by the chief financial officer of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describing said Reportable Event and the action which the </w:t>
      </w:r>
      <w:r>
        <w:rPr>
          <w:rFonts w:ascii="Times New Roman;Times;Serif" w:hAnsi="Times New Roman;Times;Serif"/>
          <w:b w:val="false"/>
          <w:i w:val="false"/>
          <w:caps w:val="false"/>
          <w:smallCaps w:val="false"/>
          <w:strike/>
          <w:color w:val="FF0000"/>
          <w:sz w:val="20"/>
        </w:rPr>
        <w:t>Borrower proposes</w:t>
      </w:r>
      <w:r>
        <w:rPr>
          <w:rFonts w:ascii="Times New Roman;Times;Serif" w:hAnsi="Times New Roman;Times;Serif"/>
          <w:b w:val="false"/>
          <w:i w:val="false"/>
          <w:caps w:val="false"/>
          <w:smallCaps w:val="false"/>
          <w:color w:val="0000FF"/>
          <w:sz w:val="20"/>
          <w:u w:val="single"/>
        </w:rPr>
        <w:t>Borrowers propose</w:t>
      </w:r>
      <w:r>
        <w:rPr>
          <w:rFonts w:ascii="Times New Roman;Times;Serif" w:hAnsi="Times New Roman;Times;Serif"/>
          <w:b w:val="false"/>
          <w:i w:val="false"/>
          <w:caps w:val="false"/>
          <w:smallCaps w:val="false"/>
          <w:sz w:val="20"/>
        </w:rPr>
        <w:t xml:space="preserve">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upon the furnishing thereof to the public shareholders of any Loan Party, copies of all financial statements, reports and proxy statements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upon the filing thereof, copies of all registration statements and annual, quarterly or other regular reports which any Loan Party or any of its Subsidiaries files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soon as available, but in any event within ninety (90) days after the end of each fiscal year (including the fiscal year ending December 31, 2016), upon request of the Agent, a copy of the detailed annual operating budget or plan including cash flow projections of the Loan Parties and their Subsidiaries for the next four fiscal quarter period prepared on a quarterly basis, in form and detail reasonably acceptable to the Agent and the Lenders, together with a summary of the material assumptions made in the preparation of such annual budget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other information (including non-financial information) as the Agent or any Lender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may be satisfied with respect to financial information of the Loan Parties and their Subsidiaries by furnishing the Form 10-K or 10-Q (or the equivalent), as applicable, of the applicable Loan Party filed with the SEC;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information is in lieu of information required to be provided under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such materials are accompanied by a report and opinion of Hein &amp; Associates,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Section 6.1(a), (b), (e) or (f) (to the extent any such documents are included in materials otherwise filed with the SEC) may be delivered electronically and if so delivered, shall be deemed to have been delivered on the date (i) on which the </w:t>
      </w:r>
      <w:r>
        <w:rPr>
          <w:rFonts w:ascii="Times New Roman;Times;Serif" w:hAnsi="Times New Roman;Times;Serif"/>
          <w:b w:val="false"/>
          <w:i w:val="false"/>
          <w:caps w:val="false"/>
          <w:smallCaps w:val="false"/>
          <w:strike/>
          <w:color w:val="FF0000"/>
          <w:sz w:val="20"/>
        </w:rPr>
        <w:t>Borrower posts</w:t>
      </w:r>
      <w:r>
        <w:rPr>
          <w:rFonts w:ascii="Times New Roman;Times;Serif" w:hAnsi="Times New Roman;Times;Serif"/>
          <w:b w:val="false"/>
          <w:i w:val="false"/>
          <w:caps w:val="false"/>
          <w:smallCaps w:val="false"/>
          <w:color w:val="0000FF"/>
          <w:sz w:val="20"/>
          <w:u w:val="single"/>
        </w:rPr>
        <w:t>Borrowers post</w:t>
      </w:r>
      <w:r>
        <w:rPr>
          <w:rFonts w:ascii="Times New Roman;Times;Serif" w:hAnsi="Times New Roman;Times;Serif"/>
          <w:b w:val="false"/>
          <w:i w:val="false"/>
          <w:caps w:val="false"/>
          <w:smallCaps w:val="false"/>
          <w:sz w:val="20"/>
        </w:rPr>
        <w:t xml:space="preserve"> such documents, or provides a link thereto on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website on the Internet; or (ii) on which such documents are posted on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behalf on an Internet or intranet website, if any, to which each Lender and the Agent have access (whether a commercial, third-party website or whether sponsored by the Agent). Each Lender shall be solely responsible for timely accessing posted documents and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color w:val="0000FF"/>
          <w:sz w:val="20"/>
          <w:u w:val="single"/>
        </w:rPr>
        <w:t> of Senior Credit Facility</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use the proceeds of the Advances </w:t>
      </w:r>
      <w:r>
        <w:rPr>
          <w:rFonts w:ascii="Times New Roman;Times;Serif" w:hAnsi="Times New Roman;Times;Serif"/>
          <w:b w:val="false"/>
          <w:i w:val="false"/>
          <w:caps w:val="false"/>
          <w:smallCaps w:val="false"/>
          <w:color w:val="0000FF"/>
          <w:sz w:val="20"/>
          <w:u w:val="single"/>
        </w:rPr>
        <w:t xml:space="preserve">under the Senior Credit Facility </w:t>
      </w:r>
      <w:r>
        <w:rPr>
          <w:rFonts w:ascii="Times New Roman;Times;Serif" w:hAnsi="Times New Roman;Times;Serif"/>
          <w:b w:val="false"/>
          <w:i w:val="false"/>
          <w:caps w:val="false"/>
          <w:smallCaps w:val="false"/>
          <w:sz w:val="20"/>
        </w:rPr>
        <w:t xml:space="preserve">(a) for the Closing Date Stock Payment, (b) to refinance certain existing Indebtedness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its Subsidiaries and (c) for general corporate purposes (including acquisition financing and payment of fees and expenses in connection with the Merger).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not, nor will </w:t>
      </w:r>
      <w:r>
        <w:rPr>
          <w:rFonts w:ascii="Times New Roman;Times;Serif" w:hAnsi="Times New Roman;Times;Serif"/>
          <w:b w:val="false"/>
          <w:i w:val="false"/>
          <w:caps w:val="false"/>
          <w:smallCaps w:val="false"/>
          <w:strike/>
          <w:color w:val="FF0000"/>
          <w:sz w:val="20"/>
        </w:rPr>
        <w:t>it</w:t>
      </w:r>
      <w:r>
        <w:rPr>
          <w:rFonts w:ascii="Times New Roman;Times;Serif" w:hAnsi="Times New Roman;Times;Serif"/>
          <w:b w:val="false"/>
          <w:i w:val="false"/>
          <w:caps w:val="false"/>
          <w:smallCaps w:val="false"/>
          <w:color w:val="0000FF"/>
          <w:sz w:val="20"/>
          <w:u w:val="single"/>
        </w:rPr>
        <w:t>any Borrower</w:t>
      </w:r>
      <w:r>
        <w:rPr>
          <w:rFonts w:ascii="Times New Roman;Times;Serif" w:hAnsi="Times New Roman;Times;Serif"/>
          <w:b w:val="false"/>
          <w:i w:val="false"/>
          <w:caps w:val="false"/>
          <w:smallCaps w:val="false"/>
          <w:sz w:val="20"/>
        </w:rPr>
        <w:t xml:space="preserve"> permit any Loan Party or Subsidiary to, use any of the proceeds of the Advances </w:t>
      </w:r>
      <w:r>
        <w:rPr>
          <w:rFonts w:ascii="Times New Roman;Times;Serif" w:hAnsi="Times New Roman;Times;Serif"/>
          <w:b w:val="false"/>
          <w:i w:val="false"/>
          <w:caps w:val="false"/>
          <w:smallCaps w:val="false"/>
          <w:strike/>
          <w:color w:val="FF0000"/>
          <w:sz w:val="20"/>
        </w:rPr>
        <w:t xml:space="preserve">to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color w:val="0000FF"/>
          <w:sz w:val="20"/>
          <w:u w:val="single"/>
        </w:rPr>
        <w:t xml:space="preserve">to </w:t>
      </w:r>
      <w:r>
        <w:rPr>
          <w:rFonts w:ascii="Times New Roman;Times;Serif" w:hAnsi="Times New Roman;Times;Serif"/>
          <w:b w:val="false"/>
          <w:i w:val="false"/>
          <w:caps w:val="false"/>
          <w:smallCaps w:val="false"/>
          <w:sz w:val="20"/>
        </w:rPr>
        <w:t xml:space="preserve">purchase or carry any “margin stock” (as defined in Regulation U)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other than as set forth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color w:val="0000FF"/>
          <w:sz w:val="20"/>
          <w:u w:val="single"/>
        </w:rPr>
        <w:t xml:space="preserve"> of </w:t>
      </w:r>
      <w:r>
        <w:rPr>
          <w:rFonts w:ascii="Times New Roman;Times;Serif" w:hAnsi="Times New Roman;Times;Serif"/>
          <w:b w:val="false"/>
          <w:i w:val="false"/>
          <w:caps w:val="false"/>
          <w:smallCaps w:val="false"/>
          <w:sz w:val="20"/>
        </w:rPr>
        <w:t xml:space="preserve">the preceding sentence and with respect to the payment of fees and expenses in connection with the Merger, </w:t>
      </w:r>
      <w:r>
        <w:rPr>
          <w:rFonts w:ascii="Times New Roman;Times;Serif" w:hAnsi="Times New Roman;Times;Serif"/>
          <w:b w:val="false"/>
          <w:i w:val="false"/>
          <w:caps w:val="false"/>
          <w:smallCaps w:val="false"/>
          <w:color w:val="0000FF"/>
          <w:sz w:val="20"/>
          <w:u w:val="single"/>
        </w:rPr>
        <w:t xml:space="preserve">to </w:t>
      </w:r>
      <w:r>
        <w:rPr>
          <w:rFonts w:ascii="Times New Roman;Times;Serif" w:hAnsi="Times New Roman;Times;Serif"/>
          <w:b w:val="false"/>
          <w:i w:val="false"/>
          <w:caps w:val="false"/>
          <w:smallCaps w:val="false"/>
          <w:sz w:val="20"/>
        </w:rPr>
        <w:t>finance any portion of the Merger</w:t>
      </w:r>
      <w:r>
        <w:rPr>
          <w:rFonts w:ascii="Times New Roman;Times;Serif" w:hAnsi="Times New Roman;Times;Serif"/>
          <w:b w:val="false"/>
          <w:i w:val="false"/>
          <w:caps w:val="false"/>
          <w:smallCaps w:val="false"/>
          <w:color w:val="0000FF"/>
          <w:sz w:val="20"/>
          <w:u w:val="single"/>
        </w:rPr>
        <w:t>, or (c) in violation of Sanctions and any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Promptly after any Authorized Officer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obtains actual knowledge thereof,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furnish to the Agent (for distribution to each Lender through the Agent) written notice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Unmatured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any other development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or commencement of any litigation since the Effective Date which could reasonably be expected to have a Material Adverse Effect or involve a monetary claim in excess of $20,000,000 that would not be covered by insurance;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notice of the institution of any investigation, review, proceeding or other inquiry by any Governmental Authority regarding financial or other operational results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xml:space="preserve">. The Loan Parties will, and will cause each Subsidiary to, engage in substantially the business conducted by the </w:t>
      </w:r>
      <w:r>
        <w:rPr>
          <w:rFonts w:ascii="Times New Roman;Times;Serif" w:hAnsi="Times New Roman;Times;Serif"/>
          <w:b w:val="false"/>
          <w:i w:val="false"/>
          <w:caps w:val="false"/>
          <w:smallCaps w:val="false"/>
          <w:strike/>
          <w:color w:val="FF0000"/>
          <w:sz w:val="20"/>
        </w:rPr>
        <w:t>Borrower and its</w:t>
      </w:r>
      <w:r>
        <w:rPr>
          <w:rFonts w:ascii="Times New Roman;Times;Serif" w:hAnsi="Times New Roman;Times;Serif"/>
          <w:b w:val="false"/>
          <w:i w:val="false"/>
          <w:caps w:val="false"/>
          <w:smallCaps w:val="false"/>
          <w:color w:val="0000FF"/>
          <w:sz w:val="20"/>
          <w:u w:val="single"/>
        </w:rPr>
        <w:t>Borrowers and their respective</w:t>
      </w:r>
      <w:r>
        <w:rPr>
          <w:rFonts w:ascii="Times New Roman;Times;Serif" w:hAnsi="Times New Roman;Times;Serif"/>
          <w:b w:val="false"/>
          <w:i w:val="false"/>
          <w:caps w:val="false"/>
          <w:smallCaps w:val="false"/>
          <w:sz w:val="20"/>
        </w:rPr>
        <w:t xml:space="preserve"> Subsidiaries on the Effective Date, any consumer finance business and all other businesses reasonably related, complementary or ancillary thereto and reasonable extensions of all of the foregoing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except to the extent that the failure to maintain such authority in any foreign jurisdiction could not reasonably be expected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or asset sale, in each case, otherwise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Loan Parties will, and will cause each Subsidiary to pay when due all taxes, assessments and governmental charges and levies upon it or its income, profits or Property, except those (a) which are being contested in good faith by appropriate proceedings and with respect to which adequate reserves have been set aside in accordance with GAAP and (b) where the failure to make payment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Loan Parties will, and will cause each Subsidiary to, maintain with reputable national insurance companies, insurance with respect to its properties and business against loss or damage of the kinds customarily insured against by Persons of similar financial condition and strength engaged in the same or similar business and owning similar properties in localities where the Loan Parties or their Subsidiaries operate, of such types and in such amounts (it being acknowledged by the Lenders that the Loan Parties and their Subsidiaries may maintain self-insurance which is compatible with the standards set forth herein) as are customarily carried under similar circumstances by such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xml:space="preserve">. The Loan Parties will, and will cause each Subsidiary to, comply with all laws, rules, regulations, orders, writs, judgments, injunctions, decrees or awards to which it may be subject including, without limitation, (i) all federal and state registrations required by anti-money laundering Laws, (ii) the provisions of the Texas Pawnshop Act (Chapter 371 of the Texas Finance Code), (iii) the provisions of the Brady Act, (iv) the consumer loan provisions of the Texas Finance Code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(v) all Environmental Laws, except to the extent that the failure to so comply could not reasonably be expected to have a Material Adverse Effect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 (vi) all Sanctions and anti-corruption laws. The Borrowers will maintain in effect policies and procedures reasonably designed to promote compliance, in all material respects, by the Borrowers, their Subsidiaries, and their respective directors, officers, employees, and agents with applicable Sanctions, the FCPA and any other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The Loan Parties will, and will cause each Subsidiary to, do all things necessary to maintain, preserve, protect and keep its Property in good repair, working order and condition, ordinary wear and tear excepted, except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Inspection</w:t>
      </w:r>
      <w:r>
        <w:rPr>
          <w:rFonts w:ascii="Times New Roman;Times;Serif" w:hAnsi="Times New Roman;Times;Serif"/>
          <w:b w:val="false"/>
          <w:i w:val="false"/>
          <w:caps w:val="false"/>
          <w:smallCaps w:val="false"/>
          <w:sz w:val="20"/>
        </w:rPr>
        <w:t>. The Loan Parties will, and will cause each Subsidiary to, permit the Agent, by its representatives and agents, upon reasonable prior notice and during normal business hours, to inspect any of the Property, books and financial records of the Loan Parties and each Subsidiary located in the United States, to examine and make copies of the books of accounts and other financial records of the Loan Parties and each Subsidiary located in the United States (other than materials protected by the attorney-client privilege and materials which such Person may not disclose without violation of a confidentiality obligation (so long as such confidentiality obligation was not entered into for the purpose of circumventing the Loan Parties’ obligations hereunder) binding upon it), and to discuss the affairs, finances and accounts of the Loan Parties and each Subsidiary with, and to be advised as to the same by, their respective officers at such reasonable times and intervals as the Agent may designate</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excluding any such inspections and examinations during the continuation of a Default, the Agent shall not exercise such rights more often than two times during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Depository</w:t>
      </w:r>
      <w:r>
        <w:rPr>
          <w:rFonts w:ascii="Times New Roman;Times;Serif" w:hAnsi="Times New Roman;Times;Serif"/>
          <w:b w:val="false"/>
          <w:i w:val="false"/>
          <w:caps w:val="false"/>
          <w:smallCaps w:val="false"/>
          <w:sz w:val="20"/>
        </w:rPr>
        <w:t>. To the extent permitted by applicable law, the Loan Parties and their Subsidiaries shall maintain their primary domestic deposit account relationships with the Lenders when reasonably convenient.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not, nor will it permit any other Loan Party to, create, incur or suffer to exist any Indebtedness, except for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FF0000"/>
          <w:sz w:val="20"/>
        </w:rPr>
        <w:t>         </w:t>
      </w:r>
      <w:r>
        <w:rPr>
          <w:rFonts w:ascii="Times New Roman;Times;Serif" w:hAnsi="Times New Roman;Times;Serif"/>
          <w:b w:val="false"/>
          <w:i w:val="false"/>
          <w:caps w:val="false"/>
          <w:smallCaps w:val="false"/>
          <w:strike/>
          <w:color w:val="FF0000"/>
          <w:sz w:val="20"/>
        </w:rPr>
        <w:t>the Obligations,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Obligations (including, to the extent applicable, any Obligations in respect of any Incremental Term Loans incurred pursuant to, and subject to the terms, conditions and limitations set forth in, Section 2.24(II)),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b) </w:t>
      </w:r>
      <w:r>
        <w:rPr>
          <w:rFonts w:ascii="Times New Roman;Times;Serif" w:hAnsi="Times New Roman;Times;Serif"/>
          <w:b w:val="false"/>
          <w:i w:val="false"/>
          <w:caps w:val="false"/>
          <w:smallCaps w:val="false"/>
          <w:sz w:val="20"/>
        </w:rPr>
        <w:t xml:space="preserve">intercompany Indebtedness representing Investments to the extent permitted by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(c) </w:t>
      </w:r>
      <w:r>
        <w:rPr>
          <w:rFonts w:ascii="Times New Roman;Times;Serif" w:hAnsi="Times New Roman;Times;Serif"/>
          <w:b w:val="false"/>
          <w:i w:val="false"/>
          <w:caps w:val="false"/>
          <w:smallCaps w:val="false"/>
          <w:sz w:val="20"/>
        </w:rPr>
        <w:t>endorsements of negotiable instruments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(d) </w:t>
      </w:r>
      <w:r>
        <w:rPr>
          <w:rFonts w:ascii="Times New Roman;Times;Serif" w:hAnsi="Times New Roman;Times;Serif"/>
          <w:b w:val="false"/>
          <w:i w:val="false"/>
          <w:caps w:val="false"/>
          <w:smallCaps w:val="false"/>
          <w:sz w:val="20"/>
        </w:rPr>
        <w:t xml:space="preserve">Indebtedness described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and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(e) </w:t>
      </w:r>
      <w:r>
        <w:rPr>
          <w:rFonts w:ascii="Times New Roman;Times;Serif" w:hAnsi="Times New Roman;Times;Serif"/>
          <w:b w:val="false"/>
          <w:i w:val="false"/>
          <w:caps w:val="false"/>
          <w:smallCaps w:val="false"/>
          <w:sz w:val="20"/>
        </w:rPr>
        <w:t xml:space="preserve">Subordinated Indebtedness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prior to the incurrence thereof, the </w:t>
      </w:r>
      <w:r>
        <w:rPr>
          <w:rFonts w:ascii="Times New Roman;Times;Serif" w:hAnsi="Times New Roman;Times;Serif"/>
          <w:b w:val="false"/>
          <w:i w:val="false"/>
          <w:caps w:val="false"/>
          <w:smallCaps w:val="false"/>
          <w:strike/>
          <w:color w:val="FF0000"/>
          <w:sz w:val="20"/>
        </w:rPr>
        <w:t>Borrower has</w:t>
      </w:r>
      <w:r>
        <w:rPr>
          <w:rFonts w:ascii="Times New Roman;Times;Serif" w:hAnsi="Times New Roman;Times;Serif"/>
          <w:b w:val="false"/>
          <w:i w:val="false"/>
          <w:caps w:val="false"/>
          <w:smallCaps w:val="false"/>
          <w:color w:val="0000FF"/>
          <w:sz w:val="20"/>
          <w:u w:val="single"/>
        </w:rPr>
        <w:t>Borrowers have</w:t>
      </w:r>
      <w:r>
        <w:rPr>
          <w:rFonts w:ascii="Times New Roman;Times;Serif" w:hAnsi="Times New Roman;Times;Serif"/>
          <w:b w:val="false"/>
          <w:i w:val="false"/>
          <w:caps w:val="false"/>
          <w:smallCaps w:val="false"/>
          <w:sz w:val="20"/>
        </w:rPr>
        <w:t xml:space="preserve"> delivered to the Agent a Compliance Certificate which indicates that, on a pro forma basis after taking into account the incurrence of such Subordinated Indebtedness and the use of the proceeds thereof, (A) there shall occur no Default or Unmatured Default and (B) the Loan Parties and their Subsidiaries are in pro forma compliance with the financial covenants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and (ii) such Indebtedness shall not have any scheduled amortization or mandatory prepayments (other than mandatory prepayments resulting from a change of control) or obligations to repurchase or redeem prior to thirty days after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(f) </w:t>
      </w:r>
      <w:r>
        <w:rPr>
          <w:rFonts w:ascii="Times New Roman;Times;Serif" w:hAnsi="Times New Roman;Times;Serif"/>
          <w:b w:val="false"/>
          <w:i w:val="false"/>
          <w:caps w:val="false"/>
          <w:smallCaps w:val="false"/>
          <w:sz w:val="20"/>
        </w:rPr>
        <w:t xml:space="preserve">Guarantees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other Loan Parties in respect of Indebtedness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permitted under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Indebtedness being Guaranteed is subordinated to the Obligations, such Guarantee shall be subordinated to the Guarantee of the Obligations on terms at least as favorable to the Lenders as those contained in the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(g) </w:t>
      </w:r>
      <w:r>
        <w:rPr>
          <w:rFonts w:ascii="Times New Roman;Times;Serif" w:hAnsi="Times New Roman;Times;Serif"/>
          <w:b w:val="false"/>
          <w:i w:val="false"/>
          <w:caps w:val="false"/>
          <w:smallCaps w:val="false"/>
          <w:sz w:val="20"/>
        </w:rPr>
        <w:t xml:space="preserve">any obligation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under Swap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Swap Agreements are entered into to manage risk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(h) </w:t>
      </w:r>
      <w:r>
        <w:rPr>
          <w:rFonts w:ascii="Times New Roman;Times;Serif" w:hAnsi="Times New Roman;Times;Serif"/>
          <w:b w:val="false"/>
          <w:i w:val="false"/>
          <w:caps w:val="false"/>
          <w:smallCaps w:val="false"/>
          <w:sz w:val="20"/>
        </w:rPr>
        <w:t>Precious Metal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(i) </w:t>
      </w:r>
      <w:r>
        <w:rPr>
          <w:rFonts w:ascii="Times New Roman;Times;Serif" w:hAnsi="Times New Roman;Times;Serif"/>
          <w:b w:val="false"/>
          <w:i w:val="false"/>
          <w:caps w:val="false"/>
          <w:smallCaps w:val="false"/>
          <w:sz w:val="20"/>
        </w:rPr>
        <w:t xml:space="preserve">Indebtedness consisting of Capitalized Lease Obligations and purchase money Indebtedness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and any Permitted Refinancing thereof in an aggregate principal amount not to exceed the greater of $</w:t>
      </w:r>
      <w:r>
        <w:rPr>
          <w:rFonts w:ascii="Times New Roman;Times;Serif" w:hAnsi="Times New Roman;Times;Serif"/>
          <w:b w:val="false"/>
          <w:i w:val="false"/>
          <w:caps w:val="false"/>
          <w:smallCaps w:val="false"/>
          <w:strike/>
          <w:color w:val="FF0000"/>
          <w:sz w:val="20"/>
        </w:rPr>
        <w:t>50,000,000</w:t>
      </w:r>
      <w:r>
        <w:rPr>
          <w:rFonts w:ascii="Times New Roman;Times;Serif" w:hAnsi="Times New Roman;Times;Serif"/>
          <w:b w:val="false"/>
          <w:i w:val="false"/>
          <w:caps w:val="false"/>
          <w:smallCaps w:val="false"/>
          <w:color w:val="0000FF"/>
          <w:sz w:val="20"/>
          <w:u w:val="single"/>
        </w:rPr>
        <w:t>75,000,000</w:t>
      </w:r>
      <w:r>
        <w:rPr>
          <w:rFonts w:ascii="Times New Roman;Times;Serif" w:hAnsi="Times New Roman;Times;Serif"/>
          <w:b w:val="false"/>
          <w:i w:val="false"/>
          <w:caps w:val="false"/>
          <w:smallCaps w:val="false"/>
          <w:sz w:val="20"/>
        </w:rPr>
        <w:t xml:space="preserve"> and two percent (2%) of Consolidated Total Assets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(j)</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(j) </w:t>
      </w:r>
      <w:r>
        <w:rPr>
          <w:rFonts w:ascii="Times New Roman;Times;Serif" w:hAnsi="Times New Roman;Times;Serif"/>
          <w:b w:val="false"/>
          <w:i w:val="false"/>
          <w:caps w:val="false"/>
          <w:smallCaps w:val="false"/>
          <w:sz w:val="20"/>
        </w:rPr>
        <w:t xml:space="preserve">Indebtedness of any Person that becomes a Loan Party (or of any Person not previously a Loan Party that is merged or consolidated with or into a Loan Party)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Tenth Amendment Effective</w:t>
      </w:r>
      <w:r>
        <w:rPr>
          <w:rFonts w:ascii="Times New Roman;Times;Serif" w:hAnsi="Times New Roman;Times;Serif"/>
          <w:b w:val="false"/>
          <w:i w:val="false"/>
          <w:caps w:val="false"/>
          <w:smallCaps w:val="false"/>
          <w:sz w:val="20"/>
        </w:rPr>
        <w:t xml:space="preserve"> Date as a result of an Investment permitted hereunder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all such Indebtedness permitted under this </w:t>
      </w:r>
      <w:r>
        <w:rPr>
          <w:rFonts w:ascii="Times New Roman;Times;Serif" w:hAnsi="Times New Roman;Times;Serif"/>
          <w:b w:val="false"/>
          <w:i w:val="false"/>
          <w:caps w:val="false"/>
          <w:smallCaps w:val="false"/>
          <w:sz w:val="20"/>
          <w:u w:val="single"/>
        </w:rPr>
        <w:t>clause (j)</w:t>
      </w:r>
      <w:r>
        <w:rPr>
          <w:rFonts w:ascii="Times New Roman;Times;Serif" w:hAnsi="Times New Roman;Times;Serif"/>
          <w:b w:val="false"/>
          <w:i w:val="false"/>
          <w:caps w:val="false"/>
          <w:smallCaps w:val="false"/>
          <w:sz w:val="20"/>
        </w:rPr>
        <w:t> shall not exceed $</w:t>
      </w:r>
      <w:r>
        <w:rPr>
          <w:rFonts w:ascii="Times New Roman;Times;Serif" w:hAnsi="Times New Roman;Times;Serif"/>
          <w:b w:val="false"/>
          <w:i w:val="false"/>
          <w:caps w:val="false"/>
          <w:smallCaps w:val="false"/>
          <w:strike/>
          <w:color w:val="FF0000"/>
          <w:sz w:val="20"/>
        </w:rPr>
        <w:t>40,000,000</w:t>
      </w:r>
      <w:r>
        <w:rPr>
          <w:rFonts w:ascii="Times New Roman;Times;Serif" w:hAnsi="Times New Roman;Times;Serif"/>
          <w:b w:val="false"/>
          <w:i w:val="false"/>
          <w:caps w:val="false"/>
          <w:smallCaps w:val="false"/>
          <w:color w:val="0000FF"/>
          <w:sz w:val="20"/>
          <w:u w:val="single"/>
        </w:rPr>
        <w:t>200,000,000</w:t>
      </w:r>
      <w:r>
        <w:rPr>
          <w:rFonts w:ascii="Times New Roman;Times;Serif" w:hAnsi="Times New Roman;Times;Serif"/>
          <w:b w:val="false"/>
          <w:i w:val="false"/>
          <w:caps w:val="false"/>
          <w:smallCaps w:val="false"/>
          <w:sz w:val="20"/>
        </w:rPr>
        <w:t xml:space="preserve">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(k)</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(k) </w:t>
      </w:r>
      <w:r>
        <w:rPr>
          <w:rFonts w:ascii="Times New Roman;Times;Serif" w:hAnsi="Times New Roman;Times;Serif"/>
          <w:b w:val="false"/>
          <w:i w:val="false"/>
          <w:caps w:val="false"/>
          <w:smallCaps w:val="false"/>
          <w:sz w:val="20"/>
        </w:rPr>
        <w:t xml:space="preserve">Indebtedness representing deferred compensation to employees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other Loan Parties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(l)</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(l) </w:t>
      </w:r>
      <w:r>
        <w:rPr>
          <w:rFonts w:ascii="Times New Roman;Times;Serif" w:hAnsi="Times New Roman;Times;Serif"/>
          <w:b w:val="false"/>
          <w:i w:val="false"/>
          <w:caps w:val="false"/>
          <w:smallCaps w:val="false"/>
          <w:sz w:val="20"/>
        </w:rPr>
        <w:t>Indebtedness constituting working capital adjustments, purchase price adjustments, non-competes, consulting, deferred compensation, earn-out obligations, contingent consideration, contributions, and similar obligations incurred in connection with any Investment or disposition, in each case,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(m) </w:t>
      </w:r>
      <w:r>
        <w:rPr>
          <w:rFonts w:ascii="Times New Roman;Times;Serif" w:hAnsi="Times New Roman;Times;Serif"/>
          <w:b w:val="false"/>
          <w:i w:val="false"/>
          <w:caps w:val="false"/>
          <w:smallCaps w:val="false"/>
          <w:sz w:val="20"/>
        </w:rPr>
        <w:t>Indebtedness in respect of netting services, overdraft protections and similar arrangements, in each case, in connection with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 (n) </w:t>
      </w:r>
      <w:r>
        <w:rPr>
          <w:rFonts w:ascii="Times New Roman;Times;Serif" w:hAnsi="Times New Roman;Times;Serif"/>
          <w:b w:val="false"/>
          <w:i w:val="false"/>
          <w:caps w:val="false"/>
          <w:smallCaps w:val="false"/>
          <w:sz w:val="20"/>
        </w:rPr>
        <w:t>Indebtedness consisting of the financing of 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(o) </w:t>
      </w:r>
      <w:r>
        <w:rPr>
          <w:rFonts w:ascii="Times New Roman;Times;Serif" w:hAnsi="Times New Roman;Times;Serif"/>
          <w:b w:val="false"/>
          <w:i w:val="false"/>
          <w:caps w:val="false"/>
          <w:smallCaps w:val="false"/>
          <w:sz w:val="20"/>
        </w:rPr>
        <w:t xml:space="preserve">Indebtedness incurred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in respect of letters of credit, bank guarantees, bankers’ acceptances or similar instruments issued or created in the ordinary course of business, in respect of workers compensation claims, health, disability or other employee benefits or property, casualty or liability insurance or self-insurance or other reimbursement-type obligations regarding workers compensation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(p) </w:t>
      </w:r>
      <w:r>
        <w:rPr>
          <w:rFonts w:ascii="Times New Roman;Times;Serif" w:hAnsi="Times New Roman;Times;Serif"/>
          <w:b w:val="false"/>
          <w:i w:val="false"/>
          <w:caps w:val="false"/>
          <w:smallCaps w:val="false"/>
          <w:sz w:val="20"/>
        </w:rPr>
        <w:t>Indebtedness in respect of performance bonds, bid bonds, appeal bonds, surety bonds and completion guarantees and similar obligations not in connection with money borrowed, in each case provided in the ordinary course of business or consistent with past practice, including those incurred to secure health, safety and environmental obligations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(q)</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(q) </w:t>
      </w:r>
      <w:r>
        <w:rPr>
          <w:rFonts w:ascii="Times New Roman;Times;Serif" w:hAnsi="Times New Roman;Times;Serif"/>
          <w:b w:val="false"/>
          <w:i w:val="false"/>
          <w:caps w:val="false"/>
          <w:smallCaps w:val="false"/>
          <w:sz w:val="20"/>
        </w:rPr>
        <w:t xml:space="preserve">Additional Unsecured Senior Debt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the incurrence thereof, the </w:t>
      </w:r>
      <w:r>
        <w:rPr>
          <w:rFonts w:ascii="Times New Roman;Times;Serif" w:hAnsi="Times New Roman;Times;Serif"/>
          <w:b w:val="false"/>
          <w:i w:val="false"/>
          <w:caps w:val="false"/>
          <w:smallCaps w:val="false"/>
          <w:strike/>
          <w:color w:val="FF0000"/>
          <w:sz w:val="20"/>
        </w:rPr>
        <w:t>Borrower has</w:t>
      </w:r>
      <w:r>
        <w:rPr>
          <w:rFonts w:ascii="Times New Roman;Times;Serif" w:hAnsi="Times New Roman;Times;Serif"/>
          <w:b w:val="false"/>
          <w:i w:val="false"/>
          <w:caps w:val="false"/>
          <w:smallCaps w:val="false"/>
          <w:color w:val="0000FF"/>
          <w:sz w:val="20"/>
          <w:u w:val="single"/>
        </w:rPr>
        <w:t>Borrowers have</w:t>
      </w:r>
      <w:r>
        <w:rPr>
          <w:rFonts w:ascii="Times New Roman;Times;Serif" w:hAnsi="Times New Roman;Times;Serif"/>
          <w:b w:val="false"/>
          <w:i w:val="false"/>
          <w:caps w:val="false"/>
          <w:smallCaps w:val="false"/>
          <w:sz w:val="20"/>
        </w:rPr>
        <w:t xml:space="preserve"> delivered to the Agent a Compliance Certificate which indicates that, on a pro forma basis after taking into account the incurrence of such Additional Unsecured Senior Debt and the use of the proceeds thereof, (A) there shall occur no Default or Unmatured Default and (B) the Loan Parties and their Subsidiaries are in pro forma compliance with the financial covenants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(r) </w:t>
      </w:r>
      <w:r>
        <w:rPr>
          <w:rFonts w:ascii="Times New Roman;Times;Serif" w:hAnsi="Times New Roman;Times;Serif"/>
          <w:b w:val="false"/>
          <w:i w:val="false"/>
          <w:caps w:val="false"/>
          <w:smallCaps w:val="false"/>
          <w:sz w:val="20"/>
        </w:rPr>
        <w:t>the First Cash Senior Notes (and Permitted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(s) </w:t>
      </w:r>
      <w:r>
        <w:rPr>
          <w:rFonts w:ascii="Times New Roman;Times;Serif" w:hAnsi="Times New Roman;Times;Serif"/>
          <w:b w:val="false"/>
          <w:i w:val="false"/>
          <w:caps w:val="false"/>
          <w:smallCaps w:val="false"/>
          <w:sz w:val="20"/>
        </w:rPr>
        <w:t>unsecured Indebtedness in respect of credit card programs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(t) </w:t>
      </w:r>
      <w:r>
        <w:rPr>
          <w:rFonts w:ascii="Times New Roman;Times;Serif" w:hAnsi="Times New Roman;Times;Serif"/>
          <w:b w:val="false"/>
          <w:i w:val="false"/>
          <w:caps w:val="false"/>
          <w:smallCaps w:val="false"/>
          <w:sz w:val="20"/>
        </w:rPr>
        <w:t xml:space="preserve">current amounts payable or accrued for other claims (other than for borrowed funds or purchase money obligations) incurred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liabilities, accounts and claims shall be promptly paid and discharged when due or in conformity with customary trade terms, except for those being contested in good faith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 Subsidiary for which sufficient reserves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(u)</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(u) </w:t>
      </w:r>
      <w:r>
        <w:rPr>
          <w:rFonts w:ascii="Times New Roman;Times;Serif" w:hAnsi="Times New Roman;Times;Serif"/>
          <w:b w:val="false"/>
          <w:i w:val="false"/>
          <w:caps w:val="false"/>
          <w:smallCaps w:val="false"/>
          <w:sz w:val="20"/>
        </w:rPr>
        <w:t xml:space="preserve">current liabilities for taxes and assessments incurred in the ordinary course of business, and other liabilities for unpaid taxes being contested in good faith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for which sufficient reserves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(v) </w:t>
      </w:r>
      <w:r>
        <w:rPr>
          <w:rFonts w:ascii="Times New Roman;Times;Serif" w:hAnsi="Times New Roman;Times;Serif"/>
          <w:b w:val="false"/>
          <w:i w:val="false"/>
          <w:caps w:val="false"/>
          <w:smallCaps w:val="false"/>
          <w:sz w:val="20"/>
        </w:rPr>
        <w:t xml:space="preserve">Indebtedness consisting of seller financing, seller notes and other similar obligations incurred in connection with any Investment permitted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all such Indebtedness permitted under this clause (v) shall not exceed at any time $</w:t>
      </w:r>
      <w:r>
        <w:rPr>
          <w:rFonts w:ascii="Times New Roman;Times;Serif" w:hAnsi="Times New Roman;Times;Serif"/>
          <w:b w:val="false"/>
          <w:i w:val="false"/>
          <w:caps w:val="false"/>
          <w:smallCaps w:val="false"/>
          <w:strike/>
          <w:color w:val="FF0000"/>
          <w:sz w:val="20"/>
        </w:rPr>
        <w:t>20,000,000</w:t>
      </w:r>
      <w:r>
        <w:rPr>
          <w:rFonts w:ascii="Times New Roman;Times;Serif" w:hAnsi="Times New Roman;Times;Serif"/>
          <w:b w:val="false"/>
          <w:i w:val="false"/>
          <w:caps w:val="false"/>
          <w:smallCaps w:val="false"/>
          <w:color w:val="0000FF"/>
          <w:sz w:val="20"/>
          <w:u w:val="single"/>
        </w:rPr>
        <w:t>50,000,000</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(w)</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(w) </w:t>
      </w:r>
      <w:r>
        <w:rPr>
          <w:rFonts w:ascii="Times New Roman;Times;Serif" w:hAnsi="Times New Roman;Times;Serif"/>
          <w:b w:val="false"/>
          <w:i w:val="false"/>
          <w:caps w:val="false"/>
          <w:smallCaps w:val="false"/>
          <w:sz w:val="20"/>
        </w:rPr>
        <w:t xml:space="preserve">additional Indebtedness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other Loan Parties in an aggregate principal amount not to exceed at any time $</w:t>
      </w:r>
      <w:r>
        <w:rPr>
          <w:rFonts w:ascii="Times New Roman;Times;Serif" w:hAnsi="Times New Roman;Times;Serif"/>
          <w:b w:val="false"/>
          <w:i w:val="false"/>
          <w:caps w:val="false"/>
          <w:smallCaps w:val="false"/>
          <w:strike/>
          <w:color w:val="FF0000"/>
          <w:sz w:val="20"/>
        </w:rPr>
        <w:t>150,000,000</w:t>
      </w:r>
      <w:r>
        <w:rPr>
          <w:rFonts w:ascii="Times New Roman;Times;Serif" w:hAnsi="Times New Roman;Times;Serif"/>
          <w:b w:val="false"/>
          <w:i w:val="false"/>
          <w:caps w:val="false"/>
          <w:smallCaps w:val="false"/>
          <w:color w:val="0000FF"/>
          <w:sz w:val="20"/>
          <w:u w:val="single"/>
        </w:rPr>
        <w:t>175,000,000</w:t>
      </w:r>
      <w:r>
        <w:rPr>
          <w:rFonts w:ascii="Times New Roman;Times;Serif" w:hAnsi="Times New Roman;Times;Serif"/>
          <w:b w:val="false"/>
          <w:i w:val="false"/>
          <w:caps w:val="false"/>
          <w:smallCaps w:val="false"/>
          <w:sz w:val="20"/>
        </w:rPr>
        <w:t xml:space="preserve">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the incurrence thereof, the </w:t>
      </w:r>
      <w:r>
        <w:rPr>
          <w:rFonts w:ascii="Times New Roman;Times;Serif" w:hAnsi="Times New Roman;Times;Serif"/>
          <w:b w:val="false"/>
          <w:i w:val="false"/>
          <w:caps w:val="false"/>
          <w:smallCaps w:val="false"/>
          <w:strike/>
          <w:color w:val="FF0000"/>
          <w:sz w:val="20"/>
        </w:rPr>
        <w:t>Borrower has</w:t>
      </w:r>
      <w:r>
        <w:rPr>
          <w:rFonts w:ascii="Times New Roman;Times;Serif" w:hAnsi="Times New Roman;Times;Serif"/>
          <w:b w:val="false"/>
          <w:i w:val="false"/>
          <w:caps w:val="false"/>
          <w:smallCaps w:val="false"/>
          <w:color w:val="0000FF"/>
          <w:sz w:val="20"/>
          <w:u w:val="single"/>
        </w:rPr>
        <w:t>Borrowers have</w:t>
      </w:r>
      <w:r>
        <w:rPr>
          <w:rFonts w:ascii="Times New Roman;Times;Serif" w:hAnsi="Times New Roman;Times;Serif"/>
          <w:b w:val="false"/>
          <w:i w:val="false"/>
          <w:caps w:val="false"/>
          <w:smallCaps w:val="false"/>
          <w:sz w:val="20"/>
        </w:rPr>
        <w:t xml:space="preserve"> delivered to the Agent a Compliance Certificate which indicates that, on a pro forma basis after taking into account the incurrence of such Indebtedness and the use of the proceeds thereof, (A) there shall occur no Default or Unmatured Default and (B) the Loan Parties and their Subsidiaries are in pro forma compliance with the financial covenants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the aggregate amount of Indebtedness of Foreign Loan Parties incurred or assumed pursuant to all baskets and permissions set forth in this Section 6.11 (other than Sections 6.11(a), 6.11(d), and 6.11(r)) shall not exceed in the aggregate at any one time outstanding, an amount equal to 20%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xml:space="preserve">. The Loan Parties will not, nor will they permit any Domestic Subsidiary to, merge or consolidate with or into any other Person, except that </w:t>
      </w:r>
      <w:r>
        <w:rPr>
          <w:rFonts w:ascii="Times New Roman;Times;Serif" w:hAnsi="Times New Roman;Times;Serif"/>
          <w:b w:val="false"/>
          <w:i w:val="false"/>
          <w:caps w:val="false"/>
          <w:smallCaps w:val="false"/>
          <w:strike/>
          <w:color w:val="FF0000"/>
          <w:sz w:val="20"/>
        </w:rPr>
        <w:t xml:space="preserve">(a) a Subsidiary may merge into or consolidate with the Borrower,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Subsidiary may merge into or consolidate with the US Borrower or another Domestic Loan Party (other than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val="false"/>
          <w:i w:val="false"/>
          <w:caps w:val="false"/>
          <w:smallCaps w:val="false"/>
          <w:sz w:val="20"/>
        </w:rPr>
        <w:t xml:space="preserve">a Subsidiary of the </w:t>
      </w:r>
      <w:r>
        <w:rPr>
          <w:rFonts w:ascii="Times New Roman;Times;Serif" w:hAnsi="Times New Roman;Times;Serif"/>
          <w:b w:val="false"/>
          <w:i w:val="false"/>
          <w:caps w:val="false"/>
          <w:smallCaps w:val="false"/>
          <w:color w:val="0000FF"/>
          <w:sz w:val="20"/>
          <w:u w:val="single"/>
        </w:rPr>
        <w:t xml:space="preserve">US </w:t>
      </w:r>
      <w:r>
        <w:rPr>
          <w:rFonts w:ascii="Times New Roman;Times;Serif" w:hAnsi="Times New Roman;Times;Serif"/>
          <w:b w:val="false"/>
          <w:i w:val="false"/>
          <w:caps w:val="false"/>
          <w:smallCaps w:val="false"/>
          <w:sz w:val="20"/>
        </w:rPr>
        <w:t xml:space="preserve">Borrower may merge or consolidate with another Subsidiary </w:t>
      </w:r>
      <w:r>
        <w:rPr>
          <w:rFonts w:ascii="Times New Roman;Times;Serif" w:hAnsi="Times New Roman;Times;Serif"/>
          <w:b w:val="false"/>
          <w:i w:val="false"/>
          <w:caps w:val="false"/>
          <w:smallCaps w:val="false"/>
          <w:color w:val="0000FF"/>
          <w:sz w:val="20"/>
          <w:u w:val="single"/>
        </w:rPr>
        <w:t>of the US Borrower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such merger or consolidation involves a Loan Guarantor,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Loan Guarantor shall be the surviving entity, and (ii) if such merger or consolidation involves a Foreign Subsidiary</w:t>
      </w:r>
      <w:r>
        <w:rPr>
          <w:rFonts w:ascii="Times New Roman;Times;Serif" w:hAnsi="Times New Roman;Times;Serif"/>
          <w:b w:val="false"/>
          <w:i w:val="false"/>
          <w:caps w:val="false"/>
          <w:smallCaps w:val="false"/>
          <w:strike/>
          <w:color w:val="FF0000"/>
          <w:sz w:val="20"/>
        </w:rPr>
        <w:t xml:space="preserve">, the </w:t>
      </w:r>
      <w:r>
        <w:rPr>
          <w:rFonts w:ascii="Times New Roman;Times;Serif" w:hAnsi="Times New Roman;Times;Serif"/>
          <w:b w:val="false"/>
          <w:i w:val="false"/>
          <w:caps w:val="false"/>
          <w:smallCaps w:val="false"/>
          <w:color w:val="0000FF"/>
          <w:sz w:val="20"/>
          <w:u w:val="single"/>
        </w:rPr>
        <w:t>(including, for the avoidance of doubt, any Foreign Loan Party), a</w:t>
      </w:r>
      <w:r>
        <w:rPr>
          <w:rFonts w:ascii="Times New Roman;Times;Serif" w:hAnsi="Times New Roman;Times;Serif"/>
          <w:b w:val="false"/>
          <w:i w:val="false"/>
          <w:caps w:val="false"/>
          <w:smallCaps w:val="false"/>
          <w:sz w:val="20"/>
        </w:rPr>
        <w:t xml:space="preserve"> Domestic Subsidiary </w:t>
      </w:r>
      <w:r>
        <w:rPr>
          <w:rFonts w:ascii="Times New Roman;Times;Serif" w:hAnsi="Times New Roman;Times;Serif"/>
          <w:b w:val="false"/>
          <w:i w:val="false"/>
          <w:caps w:val="false"/>
          <w:smallCaps w:val="false"/>
          <w:color w:val="0000FF"/>
          <w:sz w:val="20"/>
          <w:u w:val="single"/>
        </w:rPr>
        <w:t xml:space="preserve">or a Foreign Loan Party </w:t>
      </w:r>
      <w:r>
        <w:rPr>
          <w:rFonts w:ascii="Times New Roman;Times;Serif" w:hAnsi="Times New Roman;Times;Serif"/>
          <w:b w:val="false"/>
          <w:i w:val="false"/>
          <w:caps w:val="false"/>
          <w:smallCaps w:val="false"/>
          <w:sz w:val="20"/>
        </w:rPr>
        <w:t>shall be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 xml:space="preserve">a Subsidiary may merge, consolidate or amalgamate with any other Person in order to effect an Investment permitted under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sz w:val="20"/>
        </w:rPr>
        <w:t xml:space="preserve">a Subsidiary may effect a merger, consolidation or amalgamation to effect a disposition permitted under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a Subsidiary may effect a merger, consolidation or amalgamation to effect the Foreign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xml:space="preserve">. The Loan Parties will not, nor will they permit any Subsidiary to, lease, sell or otherwise dispose of its Property (other than the Restricted Stock Unit Awards) to any other Person, except for </w:t>
      </w:r>
      <w:r>
        <w:rPr>
          <w:rFonts w:ascii="Times New Roman;Times;Serif" w:hAnsi="Times New Roman;Times;Serif"/>
          <w:b w:val="false"/>
          <w:i w:val="false"/>
          <w:caps w:val="false"/>
          <w:smallCaps w:val="false"/>
          <w:strike/>
          <w:color w:val="FF0000"/>
          <w:sz w:val="20"/>
        </w:rPr>
        <w:t xml:space="preserve">(a) sales of inventory in the ordinary course of business,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sales of inventory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val="false"/>
          <w:i w:val="false"/>
          <w:caps w:val="false"/>
          <w:smallCaps w:val="false"/>
          <w:sz w:val="20"/>
        </w:rPr>
        <w:t>dispositions of obsolete or worn out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dispositions of property no longer used or useful in the conduct of the business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sz w:val="20"/>
        </w:rPr>
        <w:t>dispositions of property to the extent that</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230"/>
        <w:gridCol w:w="9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275" w:type="dxa"/>
            <w:tcBorders/>
            <w:vAlign w:val="center"/>
          </w:tcPr>
          <w:p>
            <w:pPr>
              <w:pStyle w:val="TableContents"/>
              <w:bidi w:val="0"/>
              <w:spacing w:before="0" w:after="283"/>
              <w:jc w:val="both"/>
              <w:rPr/>
            </w:pPr>
            <w:r>
              <w:rPr/>
              <w:t>such property is exchanged for credit against the purchase price of similar replacement property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 xml:space="preserve">the proceeds of such disposition are promptly applied to the purchase price of such replacement property, </w:t>
            </w:r>
            <w:r>
              <w:rPr>
                <w:strike/>
                <w:color w:val="FF0000"/>
              </w:rPr>
              <w:t>(e) transfers or the liquidation of Cash Equivalent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transfers or the liquidation of Cash Equivalent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(f) </w:t>
      </w:r>
      <w:r>
        <w:rPr>
          <w:rFonts w:ascii="Times New Roman;Times;Serif" w:hAnsi="Times New Roman;Times;Serif"/>
          <w:b w:val="false"/>
          <w:i w:val="false"/>
          <w:caps w:val="false"/>
          <w:smallCaps w:val="false"/>
          <w:sz w:val="20"/>
        </w:rPr>
        <w:t>leases, subleases, non-exclusive licenses or sublicenses (excluding, in each case, Capitalized Leases) of any property (including Intellectual Property) in the ordinary course of business and which do not materially interfere with the business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(g) </w:t>
      </w:r>
      <w:r>
        <w:rPr>
          <w:rFonts w:ascii="Times New Roman;Times;Serif" w:hAnsi="Times New Roman;Times;Serif"/>
          <w:b w:val="false"/>
          <w:i w:val="false"/>
          <w:caps w:val="false"/>
          <w:smallCaps w:val="false"/>
          <w:sz w:val="20"/>
        </w:rPr>
        <w:t xml:space="preserve">dispositions in the ordinary course of business consisting of the abandonment, transfer, assignment, cancellation or other disposition of any Intellectual Property which, in the reasonable good faith determination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is not material to the conduct of the business of Loan Parties and their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(h) </w:t>
      </w:r>
      <w:r>
        <w:rPr>
          <w:rFonts w:ascii="Times New Roman;Times;Serif" w:hAnsi="Times New Roman;Times;Serif"/>
          <w:b w:val="false"/>
          <w:i w:val="false"/>
          <w:caps w:val="false"/>
          <w:smallCaps w:val="false"/>
          <w:sz w:val="20"/>
        </w:rPr>
        <w:t>transfers of property or assets subject to casualty, condemnation or similar event upon receipt of the condemnation or casualty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dispositions of assets by a Loan Party or a Subsidiary to a Loan Party or a Subsidiary, including in connection with the liquidation or dissolution of such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if such disposition is made by a Loan Party to a non-Loan Party, such disposition shall be considered an Investment under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if such disposition is made by a Loan Party to a non-Loan Party in connection with the Foreign Restructuring, such disposition shall not count against the investment basket under </w:t>
      </w:r>
      <w:r>
        <w:rPr>
          <w:rFonts w:ascii="Times New Roman;Times;Serif" w:hAnsi="Times New Roman;Times;Serif"/>
          <w:b w:val="false"/>
          <w:i w:val="false"/>
          <w:caps w:val="false"/>
          <w:smallCaps w:val="false"/>
          <w:sz w:val="20"/>
          <w:u w:val="single"/>
        </w:rPr>
        <w:t>Section 6.14(f)</w:t>
      </w:r>
      <w:r>
        <w:rPr>
          <w:rFonts w:ascii="Times New Roman;Times;Serif" w:hAnsi="Times New Roman;Times;Serif"/>
          <w:b w:val="false"/>
          <w:i w:val="false"/>
          <w:caps w:val="false"/>
          <w:smallCaps w:val="false"/>
          <w:sz w:val="20"/>
        </w:rPr>
        <w:t xml:space="preserve"> but shall rather be considered an Investment permitted under </w:t>
      </w:r>
      <w:r>
        <w:rPr>
          <w:rFonts w:ascii="Times New Roman;Times;Serif" w:hAnsi="Times New Roman;Times;Serif"/>
          <w:b w:val="false"/>
          <w:i w:val="false"/>
          <w:caps w:val="false"/>
          <w:smallCaps w:val="false"/>
          <w:sz w:val="20"/>
          <w:u w:val="single"/>
        </w:rPr>
        <w:t>Section 6.14(q)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(j)</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(j) </w:t>
      </w:r>
      <w:r>
        <w:rPr>
          <w:rFonts w:ascii="Times New Roman;Times;Serif" w:hAnsi="Times New Roman;Times;Serif"/>
          <w:b w:val="false"/>
          <w:i w:val="false"/>
          <w:caps w:val="false"/>
          <w:smallCaps w:val="false"/>
          <w:sz w:val="20"/>
        </w:rPr>
        <w:t>assignments of insurance or condemnation proceeds provided to landlords (or their mortgagees) pursuant to the terms of any lease and Liens or rights reserved in any lease for rent or for compliance with the terms of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(k)</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(k) </w:t>
      </w:r>
      <w:r>
        <w:rPr>
          <w:rFonts w:ascii="Times New Roman;Times;Serif" w:hAnsi="Times New Roman;Times;Serif"/>
          <w:b w:val="false"/>
          <w:i w:val="false"/>
          <w:caps w:val="false"/>
          <w:smallCaps w:val="false"/>
          <w:sz w:val="20"/>
        </w:rPr>
        <w:t xml:space="preserve">leases, sales or other dispositions of its Property that, together with all other Property of the Loan Parties and their Subsidiaries previously leased, sold or disposed of pursuant to this </w:t>
      </w:r>
      <w:r>
        <w:rPr>
          <w:rFonts w:ascii="Times New Roman;Times;Serif" w:hAnsi="Times New Roman;Times;Serif"/>
          <w:b w:val="false"/>
          <w:i w:val="false"/>
          <w:caps w:val="false"/>
          <w:smallCaps w:val="false"/>
          <w:sz w:val="20"/>
          <w:u w:val="single"/>
        </w:rPr>
        <w:t>Section 6.13(k)</w:t>
      </w:r>
      <w:r>
        <w:rPr>
          <w:rFonts w:ascii="Times New Roman;Times;Serif" w:hAnsi="Times New Roman;Times;Serif"/>
          <w:b w:val="false"/>
          <w:i w:val="false"/>
          <w:caps w:val="false"/>
          <w:smallCaps w:val="false"/>
          <w:sz w:val="20"/>
        </w:rPr>
        <w:t> during the twelve (12) month period ending with the month in which any such lease, sale or other disposition is scheduled to occur, would not reduce Consolidated EBITDA for the trailing twelve (12) month period by more than ten percent (10%)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(l)</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(l) </w:t>
      </w:r>
      <w:r>
        <w:rPr>
          <w:rFonts w:ascii="Times New Roman;Times;Serif" w:hAnsi="Times New Roman;Times;Serif"/>
          <w:b w:val="false"/>
          <w:i w:val="false"/>
          <w:caps w:val="false"/>
          <w:smallCaps w:val="false"/>
          <w:sz w:val="20"/>
        </w:rPr>
        <w:t xml:space="preserve">sales, transfers or other dispositions set forth on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(m) </w:t>
      </w:r>
      <w:r>
        <w:rPr>
          <w:rFonts w:ascii="Times New Roman;Times;Serif" w:hAnsi="Times New Roman;Times;Serif"/>
          <w:b w:val="false"/>
          <w:i w:val="false"/>
          <w:caps w:val="false"/>
          <w:smallCaps w:val="false"/>
          <w:sz w:val="20"/>
        </w:rPr>
        <w:t>termination of a lease or sublease of real or personal property that is not necessary for the ordinary course of business, could not reasonably be expected to have a Material Adverse Effect and does not result from an obligor’s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(n) </w:t>
      </w:r>
      <w:r>
        <w:rPr>
          <w:rFonts w:ascii="Times New Roman;Times;Serif" w:hAnsi="Times New Roman;Times;Serif"/>
          <w:b w:val="false"/>
          <w:i w:val="false"/>
          <w:caps w:val="false"/>
          <w:smallCaps w:val="false"/>
          <w:sz w:val="20"/>
        </w:rPr>
        <w:t>voluntary termination of any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(o) </w:t>
      </w:r>
      <w:r>
        <w:rPr>
          <w:rFonts w:ascii="Times New Roman;Times;Serif" w:hAnsi="Times New Roman;Times;Serif"/>
          <w:b w:val="false"/>
          <w:i w:val="false"/>
          <w:caps w:val="false"/>
          <w:smallCaps w:val="false"/>
          <w:sz w:val="20"/>
        </w:rPr>
        <w:t>the expiration of any contract, contract right or other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(p) </w:t>
      </w:r>
      <w:r>
        <w:rPr>
          <w:rFonts w:ascii="Times New Roman;Times;Serif" w:hAnsi="Times New Roman;Times;Serif"/>
          <w:b w:val="false"/>
          <w:i w:val="false"/>
          <w:caps w:val="false"/>
          <w:smallCaps w:val="false"/>
          <w:sz w:val="20"/>
        </w:rPr>
        <w:t>the sale or issuance of any Equity Interests by the Loan Parties not constituting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(q)</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(q) </w:t>
      </w:r>
      <w:r>
        <w:rPr>
          <w:rFonts w:ascii="Times New Roman;Times;Serif" w:hAnsi="Times New Roman;Times;Serif"/>
          <w:b w:val="false"/>
          <w:i w:val="false"/>
          <w:caps w:val="false"/>
          <w:smallCaps w:val="false"/>
          <w:sz w:val="20"/>
        </w:rPr>
        <w:t>the sale or issuance of any Equity Interests of a Subsidiary of the Loan Parties to a Loan Party or another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(r) </w:t>
      </w:r>
      <w:r>
        <w:rPr>
          <w:rFonts w:ascii="Times New Roman;Times;Serif" w:hAnsi="Times New Roman;Times;Serif"/>
          <w:b w:val="false"/>
          <w:i w:val="false"/>
          <w:caps w:val="false"/>
          <w:smallCaps w:val="false"/>
          <w:sz w:val="20"/>
        </w:rPr>
        <w:t>dispositions of accounts receivable in connection with the collection or compromise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sales, transfers and other dispositions of Investments in joint ventures permitted under Section 6.14 to the extent required by, or made pursuant to, customary buy/sell arrangements between the joint venture parties set forth in joint venture arrangements and similar binding arrangements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winding down or dissolution of joint ventures permitted under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 </w:t>
      </w:r>
      <w:r>
        <w:rPr>
          <w:rFonts w:ascii="Times New Roman;Times;Serif" w:hAnsi="Times New Roman;Times;Serif"/>
          <w:b w:val="false"/>
          <w:i w:val="false"/>
          <w:caps w:val="false"/>
          <w:smallCaps w:val="false"/>
          <w:sz w:val="20"/>
        </w:rPr>
        <w:t>sale-leaseback transactions involving Property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(u)</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(u) </w:t>
      </w:r>
      <w:r>
        <w:rPr>
          <w:rFonts w:ascii="Times New Roman;Times;Serif" w:hAnsi="Times New Roman;Times;Serif"/>
          <w:b w:val="false"/>
          <w:i w:val="false"/>
          <w:caps w:val="false"/>
          <w:smallCaps w:val="false"/>
          <w:sz w:val="20"/>
        </w:rPr>
        <w:t>an assignment of an account to an insurance company providing credit insurance to a Loan Party or any of its Subsidiaries for purposes of collecting insurance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(v) </w:t>
      </w:r>
      <w:r>
        <w:rPr>
          <w:rFonts w:ascii="Times New Roman;Times;Serif" w:hAnsi="Times New Roman;Times;Serif"/>
          <w:b w:val="false"/>
          <w:i w:val="false"/>
          <w:caps w:val="false"/>
          <w:smallCaps w:val="false"/>
          <w:sz w:val="20"/>
        </w:rPr>
        <w:t>the granting of Liens permitted under Section 6.15,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(w)</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(w) </w:t>
      </w:r>
      <w:r>
        <w:rPr>
          <w:rFonts w:ascii="Times New Roman;Times;Serif" w:hAnsi="Times New Roman;Times;Serif"/>
          <w:b w:val="false"/>
          <w:i w:val="false"/>
          <w:caps w:val="false"/>
          <w:smallCaps w:val="false"/>
          <w:sz w:val="20"/>
        </w:rPr>
        <w:t>a merger, dissolution, liquidation or consolidation, the purpose of which is to substantially concurrently effect a disposition or merger permitted by Section 6.12 (excluding Section 6.12(d)),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(x) </w:t>
      </w:r>
      <w:r>
        <w:rPr>
          <w:rFonts w:ascii="Times New Roman;Times;Serif" w:hAnsi="Times New Roman;Times;Serif"/>
          <w:b w:val="false"/>
          <w:i w:val="false"/>
          <w:caps w:val="false"/>
          <w:smallCaps w:val="false"/>
          <w:sz w:val="20"/>
        </w:rPr>
        <w:t>the Enova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(y) </w:t>
      </w:r>
      <w:r>
        <w:rPr>
          <w:rFonts w:ascii="Times New Roman;Times;Serif" w:hAnsi="Times New Roman;Times;Serif"/>
          <w:b w:val="false"/>
          <w:i w:val="false"/>
          <w:caps w:val="false"/>
          <w:smallCaps w:val="false"/>
          <w:sz w:val="20"/>
        </w:rPr>
        <w:t>any disposition of Precious Metal under a Precious Metal Transaction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(z)</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(z) </w:t>
      </w:r>
      <w:r>
        <w:rPr>
          <w:rFonts w:ascii="Times New Roman;Times;Serif" w:hAnsi="Times New Roman;Times;Serif"/>
          <w:b w:val="false"/>
          <w:i w:val="false"/>
          <w:caps w:val="false"/>
          <w:smallCaps w:val="false"/>
          <w:sz w:val="20"/>
        </w:rPr>
        <w:t>sales of accounts receivable, or participations therein, and related assets in connection with a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the aggregate amount of sales, transfers or other dispositions made by Domestic Loan Parties to Foreign Loan Parties (other than UK Loan Parties) pursuant to all baskets and permissions set forth in this Section 6.13 (other than (x) Section 6.13(l) and (y) any sales, transfer or other dispositions made on an arm’s length basis for cash and Cash Equivalent Investments received by Domestic Loan Parties) shall not exceed in the aggregate an amount equal to 20%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Investments and Acquisitions</w:t>
      </w:r>
      <w:r>
        <w:rPr>
          <w:rFonts w:ascii="Times New Roman;Times;Serif" w:hAnsi="Times New Roman;Times;Serif"/>
          <w:b w:val="false"/>
          <w:i w:val="false"/>
          <w:caps w:val="false"/>
          <w:smallCaps w:val="false"/>
          <w:sz w:val="20"/>
        </w:rPr>
        <w:t>. The Loan Parties will not, nor will it permit any Subsidiary to, make or suffer to exist any Investments except for</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 </w:t>
      </w:r>
      <w:r>
        <w:rPr>
          <w:rFonts w:ascii="Times New Roman;Times;Serif" w:hAnsi="Times New Roman;Times;Serif"/>
          <w:b w:val="false"/>
          <w:i w:val="false"/>
          <w:caps w:val="false"/>
          <w:smallCaps w:val="false"/>
          <w:sz w:val="20"/>
        </w:rPr>
        <w:t>Cash and Cash Equivalent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val="false"/>
          <w:i w:val="false"/>
          <w:caps w:val="false"/>
          <w:smallCaps w:val="false"/>
          <w:sz w:val="20"/>
        </w:rPr>
        <w:t xml:space="preserve">Investments in existence on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Tenth Amendment Effective</w:t>
      </w:r>
      <w:r>
        <w:rPr>
          <w:rFonts w:ascii="Times New Roman;Times;Serif" w:hAnsi="Times New Roman;Times;Serif"/>
          <w:b w:val="false"/>
          <w:i w:val="false"/>
          <w:caps w:val="false"/>
          <w:smallCaps w:val="false"/>
          <w:sz w:val="20"/>
        </w:rPr>
        <w:t xml:space="preserve"> Date set forth on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xml:space="preserve"> and any modification, replacement, renewal, reinvestment or extension thereof (to the extent not representing an increase in the aggregate amount of such Investment unless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 xml:space="preserve">any Acquisition for which the aggregate purchase price therefor does not exceed twenty-five percent (25%) of Consolidated Net Worth </w:t>
      </w:r>
      <w:r>
        <w:rPr>
          <w:rFonts w:ascii="Times New Roman;Times;Serif" w:hAnsi="Times New Roman;Times;Serif"/>
          <w:b w:val="false"/>
          <w:i w:val="false"/>
          <w:caps w:val="false"/>
          <w:smallCaps w:val="false"/>
          <w:strike/>
          <w:color w:val="FF0000"/>
          <w:sz w:val="20"/>
        </w:rPr>
        <w:t>as reflected on the Loan Parties’ most recently submitted Compliance 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after giving pro forma effect to such Acquisition, (i) no Default or Unmatured Default has occurred and is continuing or would result therefrom and (ii) the Loan Parties and their Subsidiaries are in compliance with the financial covenants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sz w:val="20"/>
        </w:rPr>
        <w:t xml:space="preserve">Investments by Loan Parties in other Loan Parties, </w:t>
      </w:r>
      <w:r>
        <w:rPr>
          <w:rFonts w:ascii="Times New Roman;Times;Serif" w:hAnsi="Times New Roman;Times;Serif"/>
          <w:b w:val="false"/>
          <w:i w:val="false"/>
          <w:caps w:val="false"/>
          <w:smallCaps w:val="false"/>
          <w:strike/>
          <w:color w:val="FF0000"/>
          <w:sz w:val="20"/>
        </w:rPr>
        <w:t>(e) Investments by Persons that are not Loan Parties in Persons that are not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Investments by Persons that are not Loan Parties in Persons that are not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(f) </w:t>
      </w:r>
      <w:r>
        <w:rPr>
          <w:rFonts w:ascii="Times New Roman;Times;Serif" w:hAnsi="Times New Roman;Times;Serif"/>
          <w:b w:val="false"/>
          <w:i w:val="false"/>
          <w:caps w:val="false"/>
          <w:smallCaps w:val="false"/>
          <w:sz w:val="20"/>
        </w:rPr>
        <w:t xml:space="preserve">Investments made by Loan Parties </w:t>
      </w:r>
      <w:r>
        <w:rPr>
          <w:rFonts w:ascii="Times New Roman;Times;Serif" w:hAnsi="Times New Roman;Times;Serif"/>
          <w:b w:val="false"/>
          <w:i w:val="false"/>
          <w:caps w:val="false"/>
          <w:smallCaps w:val="false"/>
          <w:strike/>
          <w:color w:val="FF0000"/>
          <w:sz w:val="20"/>
        </w:rPr>
        <w:t>from and after the Closing Date in</w:t>
      </w:r>
      <w:r>
        <w:rPr>
          <w:rFonts w:ascii="Times New Roman;Times;Serif" w:hAnsi="Times New Roman;Times;Serif"/>
          <w:b w:val="false"/>
          <w:i w:val="false"/>
          <w:caps w:val="false"/>
          <w:smallCaps w:val="false"/>
          <w:color w:val="0000FF"/>
          <w:sz w:val="20"/>
          <w:u w:val="single"/>
        </w:rPr>
        <w:t>in</w:t>
      </w:r>
      <w:r>
        <w:rPr>
          <w:rFonts w:ascii="Times New Roman;Times;Serif" w:hAnsi="Times New Roman;Times;Serif"/>
          <w:b w:val="false"/>
          <w:i w:val="false"/>
          <w:caps w:val="false"/>
          <w:smallCaps w:val="false"/>
          <w:sz w:val="20"/>
        </w:rPr>
        <w:t xml:space="preserve"> Subsidiaries that are not Loan Parties </w:t>
      </w:r>
      <w:r>
        <w:rPr>
          <w:rFonts w:ascii="Times New Roman;Times;Serif" w:hAnsi="Times New Roman;Times;Serif"/>
          <w:b w:val="false"/>
          <w:i w:val="false"/>
          <w:caps w:val="false"/>
          <w:smallCaps w:val="false"/>
          <w:strike/>
          <w:color w:val="FF0000"/>
          <w:sz w:val="20"/>
        </w:rPr>
        <w:t>in an</w:t>
      </w:r>
      <w:r>
        <w:rPr>
          <w:rFonts w:ascii="Times New Roman;Times;Serif" w:hAnsi="Times New Roman;Times;Serif"/>
          <w:b w:val="false"/>
          <w:i w:val="false"/>
          <w:caps w:val="false"/>
          <w:smallCaps w:val="false"/>
          <w:color w:val="0000FF"/>
          <w:sz w:val="20"/>
          <w:u w:val="single"/>
        </w:rPr>
        <w:t>that: (x) were permitted under this Section 6.14(f) as in effect immediately prior to the Tenth Amendment Effective Date and were consummated prior to the Tenth Amendment Effective Date; (y) the acquisition of 100% of the Equity Interests of Ramsdens Holdings PLC, a company incorporated in England and Wales, and its Subsidiaries by Chess Bidco and (z) are consummated following the Tenth Amendment Effective Date; provided, that from and after the Tenth Amendment Effective Date, the</w:t>
      </w:r>
      <w:r>
        <w:rPr>
          <w:rFonts w:ascii="Times New Roman;Times;Serif" w:hAnsi="Times New Roman;Times;Serif"/>
          <w:b w:val="false"/>
          <w:i w:val="false"/>
          <w:caps w:val="false"/>
          <w:smallCaps w:val="false"/>
          <w:sz w:val="20"/>
        </w:rPr>
        <w:t xml:space="preserve"> aggregate amount </w:t>
      </w:r>
      <w:r>
        <w:rPr>
          <w:rFonts w:ascii="Times New Roman;Times;Serif" w:hAnsi="Times New Roman;Times;Serif"/>
          <w:b w:val="false"/>
          <w:i w:val="false"/>
          <w:caps w:val="false"/>
          <w:smallCaps w:val="false"/>
          <w:strike/>
          <w:color w:val="FF0000"/>
          <w:sz w:val="20"/>
        </w:rPr>
        <w:t>not to</w:t>
      </w:r>
      <w:r>
        <w:rPr>
          <w:rFonts w:ascii="Times New Roman;Times;Serif" w:hAnsi="Times New Roman;Times;Serif"/>
          <w:b w:val="false"/>
          <w:i w:val="false"/>
          <w:caps w:val="false"/>
          <w:smallCaps w:val="false"/>
          <w:color w:val="0000FF"/>
          <w:sz w:val="20"/>
          <w:u w:val="single"/>
        </w:rPr>
        <w:t>of Investments permitted pursuant to the foregoing subclause (f)(z) shall not</w:t>
      </w:r>
      <w:r>
        <w:rPr>
          <w:rFonts w:ascii="Times New Roman;Times;Serif" w:hAnsi="Times New Roman;Times;Serif"/>
          <w:b w:val="false"/>
          <w:i w:val="false"/>
          <w:caps w:val="false"/>
          <w:smallCaps w:val="false"/>
          <w:sz w:val="20"/>
        </w:rPr>
        <w:t xml:space="preserve"> exceed the greater of $350,000,000 and twenty-five percent (25%) of Consolidated Net Worth </w:t>
      </w:r>
      <w:r>
        <w:rPr>
          <w:rFonts w:ascii="Times New Roman;Times;Serif" w:hAnsi="Times New Roman;Times;Serif"/>
          <w:b w:val="false"/>
          <w:i w:val="false"/>
          <w:caps w:val="false"/>
          <w:smallCaps w:val="false"/>
          <w:strike/>
          <w:color w:val="FF0000"/>
          <w:sz w:val="20"/>
        </w:rPr>
        <w:t>as reflected on the Loan Parties’ most recently submitted Compliance 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further, that </w:t>
      </w:r>
      <w:r>
        <w:rPr>
          <w:rFonts w:ascii="Times New Roman;Times;Serif" w:hAnsi="Times New Roman;Times;Serif"/>
          <w:b w:val="false"/>
          <w:i w:val="false"/>
          <w:caps w:val="false"/>
          <w:smallCaps w:val="false"/>
          <w:sz w:val="20"/>
        </w:rPr>
        <w:t xml:space="preserve">after giving pro forma effect to </w:t>
      </w:r>
      <w:r>
        <w:rPr>
          <w:rFonts w:ascii="Times New Roman;Times;Serif" w:hAnsi="Times New Roman;Times;Serif"/>
          <w:b w:val="false"/>
          <w:i w:val="false"/>
          <w:caps w:val="false"/>
          <w:smallCaps w:val="false"/>
          <w:color w:val="0000FF"/>
          <w:sz w:val="20"/>
          <w:u w:val="single"/>
        </w:rPr>
        <w:t xml:space="preserve">any </w:t>
      </w:r>
      <w:r>
        <w:rPr>
          <w:rFonts w:ascii="Times New Roman;Times;Serif" w:hAnsi="Times New Roman;Times;Serif"/>
          <w:b w:val="false"/>
          <w:i w:val="false"/>
          <w:caps w:val="false"/>
          <w:smallCaps w:val="false"/>
          <w:sz w:val="20"/>
        </w:rPr>
        <w:t xml:space="preserve">such Investment </w:t>
      </w:r>
      <w:r>
        <w:rPr>
          <w:rFonts w:ascii="Times New Roman;Times;Serif" w:hAnsi="Times New Roman;Times;Serif"/>
          <w:b w:val="false"/>
          <w:i w:val="false"/>
          <w:caps w:val="false"/>
          <w:smallCaps w:val="false"/>
          <w:color w:val="0000FF"/>
          <w:sz w:val="20"/>
          <w:u w:val="single"/>
        </w:rPr>
        <w:t>under this clause (f)</w:t>
      </w:r>
      <w:r>
        <w:rPr>
          <w:rFonts w:ascii="Times New Roman;Times;Serif" w:hAnsi="Times New Roman;Times;Serif"/>
          <w:b w:val="false"/>
          <w:i w:val="false"/>
          <w:caps w:val="false"/>
          <w:smallCaps w:val="false"/>
          <w:sz w:val="20"/>
        </w:rPr>
        <w:t xml:space="preserve">, (i) no Default or Unmatured Default has occurred and is continuing or would result therefrom and (ii) the Loan Parties and their Subsidiaries are in compliance with the financial covenants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(g) </w:t>
      </w:r>
      <w:r>
        <w:rPr>
          <w:rFonts w:ascii="Times New Roman;Times;Serif" w:hAnsi="Times New Roman;Times;Serif"/>
          <w:b w:val="false"/>
          <w:i w:val="false"/>
          <w:caps w:val="false"/>
          <w:smallCaps w:val="false"/>
          <w:sz w:val="20"/>
        </w:rPr>
        <w:t>Investments by Subsidiaries that are not Loan Parties in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(h) </w:t>
      </w:r>
      <w:r>
        <w:rPr>
          <w:rFonts w:ascii="Times New Roman;Times;Serif" w:hAnsi="Times New Roman;Times;Serif"/>
          <w:b w:val="false"/>
          <w:i w:val="false"/>
          <w:caps w:val="false"/>
          <w:smallCaps w:val="false"/>
          <w:sz w:val="20"/>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Investments in the ordinary course of business consisting of Uniform Commercial Code Article 3 endorsements for collection or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(j)</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(j) </w:t>
      </w:r>
      <w:r>
        <w:rPr>
          <w:rFonts w:ascii="Times New Roman;Times;Serif" w:hAnsi="Times New Roman;Times;Serif"/>
          <w:b w:val="false"/>
          <w:i w:val="false"/>
          <w:caps w:val="false"/>
          <w:smallCaps w:val="false"/>
          <w:sz w:val="20"/>
        </w:rPr>
        <w:t>advances of payroll payments to employees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(k)</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(k) </w:t>
      </w:r>
      <w:r>
        <w:rPr>
          <w:rFonts w:ascii="Times New Roman;Times;Serif" w:hAnsi="Times New Roman;Times;Serif"/>
          <w:b w:val="false"/>
          <w:i w:val="false"/>
          <w:caps w:val="false"/>
          <w:smallCaps w:val="false"/>
          <w:sz w:val="20"/>
        </w:rPr>
        <w:t>Investments in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(l)</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(l) </w:t>
      </w:r>
      <w:r>
        <w:rPr>
          <w:rFonts w:ascii="Times New Roman;Times;Serif" w:hAnsi="Times New Roman;Times;Serif"/>
          <w:b w:val="false"/>
          <w:i w:val="false"/>
          <w:caps w:val="false"/>
          <w:smallCaps w:val="false"/>
          <w:sz w:val="20"/>
        </w:rPr>
        <w:t>Investments constituting deposits, prepayments and other credits to suppliers made in the ordinary course of business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(m) </w:t>
      </w:r>
      <w:r>
        <w:rPr>
          <w:rFonts w:ascii="Times New Roman;Times;Serif" w:hAnsi="Times New Roman;Times;Serif"/>
          <w:b w:val="false"/>
          <w:i w:val="false"/>
          <w:caps w:val="false"/>
          <w:smallCaps w:val="false"/>
          <w:sz w:val="20"/>
        </w:rPr>
        <w:t>deposits of cash made in the ordinary course of business to secure performance of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(n) </w:t>
      </w:r>
      <w:r>
        <w:rPr>
          <w:rFonts w:ascii="Times New Roman;Times;Serif" w:hAnsi="Times New Roman;Times;Serif"/>
          <w:b w:val="false"/>
          <w:i w:val="false"/>
          <w:caps w:val="false"/>
          <w:smallCaps w:val="false"/>
          <w:sz w:val="20"/>
        </w:rPr>
        <w:t>Investments held by any Person who is acquired after the Closing Date pursuant to an Investment permitted hereunder, to the extent that such Investments were not made in contemplation of, or in connection with, such Investment and were in existence on the date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(o) </w:t>
      </w:r>
      <w:r>
        <w:rPr>
          <w:rFonts w:ascii="Times New Roman;Times;Serif" w:hAnsi="Times New Roman;Times;Serif"/>
          <w:b w:val="false"/>
          <w:i w:val="false"/>
          <w:caps w:val="false"/>
          <w:smallCaps w:val="false"/>
          <w:sz w:val="20"/>
        </w:rPr>
        <w:t xml:space="preserve">a Subsidiary of the Loan Parties may be established or created (but not capitalized unless otherwise permitted under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(p) </w:t>
      </w:r>
      <w:r>
        <w:rPr>
          <w:rFonts w:ascii="Times New Roman;Times;Serif" w:hAnsi="Times New Roman;Times;Serif"/>
          <w:b w:val="false"/>
          <w:i w:val="false"/>
          <w:caps w:val="false"/>
          <w:smallCaps w:val="false"/>
          <w:sz w:val="20"/>
        </w:rPr>
        <w:t>pawn transactions, pawn loans and other consumer loans or participations therein in the ordinary course of the day to day business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(q)</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(q) </w:t>
      </w:r>
      <w:r>
        <w:rPr>
          <w:rFonts w:ascii="Times New Roman;Times;Serif" w:hAnsi="Times New Roman;Times;Serif"/>
          <w:b w:val="false"/>
          <w:i w:val="false"/>
          <w:caps w:val="false"/>
          <w:smallCaps w:val="false"/>
          <w:sz w:val="20"/>
        </w:rPr>
        <w:t>Investments necessary to consummate any Foreign Restructuring consisting of the contribution of the stock of a Foreign Subsidiary to another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(r) </w:t>
      </w:r>
      <w:r>
        <w:rPr>
          <w:rFonts w:ascii="Times New Roman;Times;Serif" w:hAnsi="Times New Roman;Times;Serif"/>
          <w:b w:val="false"/>
          <w:i w:val="false"/>
          <w:caps w:val="false"/>
          <w:smallCaps w:val="false"/>
          <w:sz w:val="20"/>
        </w:rPr>
        <w:t>Investments (other than Investments in Loan Parties or their Subsidiaries) permitted pursuant to Section 6.11(c), 6.11(o) and 6.11(p),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(s) </w:t>
      </w:r>
      <w:r>
        <w:rPr>
          <w:rFonts w:ascii="Times New Roman;Times;Serif" w:hAnsi="Times New Roman;Times;Serif"/>
          <w:b w:val="false"/>
          <w:i w:val="false"/>
          <w:caps w:val="false"/>
          <w:smallCaps w:val="false"/>
          <w:sz w:val="20"/>
        </w:rPr>
        <w:t xml:space="preserve">promissory notes and other non-cash consideration received in connection with dispositions permitted by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 </w:t>
      </w:r>
      <w:r>
        <w:rPr>
          <w:rFonts w:ascii="Times New Roman;Times;Serif" w:hAnsi="Times New Roman;Times;Serif"/>
          <w:b w:val="false"/>
          <w:i w:val="false"/>
          <w:caps w:val="false"/>
          <w:smallCaps w:val="false"/>
          <w:sz w:val="20"/>
        </w:rPr>
        <w:t>Investments and other acquisitions to the extent that payment for such Investments is made solely with Equity Interests of the Loan Parties that are not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(u)</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(u) </w:t>
      </w:r>
      <w:r>
        <w:rPr>
          <w:rFonts w:ascii="Times New Roman;Times;Serif" w:hAnsi="Times New Roman;Times;Serif"/>
          <w:b w:val="false"/>
          <w:i w:val="false"/>
          <w:caps w:val="false"/>
          <w:smallCaps w:val="false"/>
          <w:sz w:val="20"/>
        </w:rPr>
        <w:t>to the extent constituting an Investment, CSO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(v) </w:t>
      </w:r>
      <w:r>
        <w:rPr>
          <w:rFonts w:ascii="Times New Roman;Times;Serif" w:hAnsi="Times New Roman;Times;Serif"/>
          <w:b w:val="false"/>
          <w:i w:val="false"/>
          <w:caps w:val="false"/>
          <w:smallCaps w:val="false"/>
          <w:sz w:val="20"/>
        </w:rPr>
        <w:t>Investments in a Securitization Subsidiary that are necessary or desirable to effect any Permitted Receivables Financing or any repurchases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(w)</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(w) </w:t>
      </w:r>
      <w:r>
        <w:rPr>
          <w:rFonts w:ascii="Times New Roman;Times;Serif" w:hAnsi="Times New Roman;Times;Serif"/>
          <w:b w:val="false"/>
          <w:i w:val="false"/>
          <w:caps w:val="false"/>
          <w:smallCaps w:val="false"/>
          <w:sz w:val="20"/>
        </w:rPr>
        <w:t>Investments in Precious Metal in the ordinary course of business under or in accordance with a Precious Metal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(x) </w:t>
      </w:r>
      <w:r>
        <w:rPr>
          <w:rFonts w:ascii="Times New Roman;Times;Serif" w:hAnsi="Times New Roman;Times;Serif"/>
          <w:b w:val="false"/>
          <w:i w:val="false"/>
          <w:caps w:val="false"/>
          <w:smallCaps w:val="false"/>
          <w:sz w:val="20"/>
        </w:rPr>
        <w:t>other Investments in an aggregate amount not to exceed the greater of $</w:t>
      </w:r>
      <w:r>
        <w:rPr>
          <w:rFonts w:ascii="Times New Roman;Times;Serif" w:hAnsi="Times New Roman;Times;Serif"/>
          <w:b w:val="false"/>
          <w:i w:val="false"/>
          <w:caps w:val="false"/>
          <w:smallCaps w:val="false"/>
          <w:strike/>
          <w:color w:val="FF0000"/>
          <w:sz w:val="20"/>
        </w:rPr>
        <w:t>25,000,000</w:t>
      </w:r>
      <w:r>
        <w:rPr>
          <w:rFonts w:ascii="Times New Roman;Times;Serif" w:hAnsi="Times New Roman;Times;Serif"/>
          <w:b w:val="false"/>
          <w:i w:val="false"/>
          <w:caps w:val="false"/>
          <w:smallCaps w:val="false"/>
          <w:color w:val="0000FF"/>
          <w:sz w:val="20"/>
          <w:u w:val="single"/>
        </w:rPr>
        <w:t>50,000,000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FF0000"/>
          <w:sz w:val="20"/>
        </w:rPr>
        <w:t>one</w:t>
      </w:r>
      <w:r>
        <w:rPr>
          <w:rFonts w:ascii="Times New Roman;Times;Serif" w:hAnsi="Times New Roman;Times;Serif"/>
          <w:b w:val="false"/>
          <w:i w:val="false"/>
          <w:caps w:val="false"/>
          <w:smallCaps w:val="false"/>
          <w:color w:val="0000FF"/>
          <w:sz w:val="20"/>
          <w:u w:val="single"/>
        </w:rPr>
        <w:t>two</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1.0</w:t>
      </w:r>
      <w:r>
        <w:rPr>
          <w:rFonts w:ascii="Times New Roman;Times;Serif" w:hAnsi="Times New Roman;Times;Serif"/>
          <w:b w:val="false"/>
          <w:i w:val="false"/>
          <w:caps w:val="false"/>
          <w:smallCaps w:val="false"/>
          <w:color w:val="0000FF"/>
          <w:sz w:val="20"/>
          <w:u w:val="single"/>
        </w:rPr>
        <w:t>2.0</w:t>
      </w:r>
      <w:r>
        <w:rPr>
          <w:rFonts w:ascii="Times New Roman;Times;Serif" w:hAnsi="Times New Roman;Times;Serif"/>
          <w:b w:val="false"/>
          <w:i w:val="false"/>
          <w:caps w:val="false"/>
          <w:smallCaps w:val="false"/>
          <w:sz w:val="20"/>
        </w:rPr>
        <w:t>%)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the aggregate amount of Investments made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Loan Parties in or to non-Loan Party Subsidiaries (excluding, for the avoidance of doubt, any acquisitions of entities that become Loan Parties) set forth in this Section 6.14 (other than Section 6.14(b) and Section 6.14(f)(y)) shall not exceed in the aggregate an amount equal to 17.5% of Consolidated Total Assets;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Domestic Loan Parties in or to Foreign Loan Parties (including, for the avoidance of doubt, any acquisitions of entities that become Foreign Loan Parties) set forth in this Section 6.14 (other than Section 6.14(b) and Section 6.14(f)(y)) shall not exceed in the aggregate an amount equal to 20%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not, nor will it permit any other Loan Party to, create, incur, or suffer to exist any Lien in, of or on the Property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(other than the Restricted Stock Unit Awards),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taxes, assessments or governmental charges or levies on its Property which are not yet due or as to which the period of grace (not to exceed sixty (60) days), if any, related thereto has not expired, or are being contested in good faith and by appropriate proceedings and for which adequate reserves in accordance with GAAP shall have been set aside on its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imposed by law, such as carriers’, warehousemen’s, landlord’s, mechanics’, repairmen, workman and materialmen and other similar liens arising in the ordinary course of business which secure payment of obligations not more than 60 days past due or for amounts that are being contested in good faith by appropriate proceedings, so long as such reserves or other appropriate provisions, if any, as shall be required by GAAP, shall have been made for any such contested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arising out of pledges or deposits under worker’s compensation laws, unemployment insurance, old age pensions, or other social security or retirement benefits, or similar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easements, servitudes, rights of way, covenants, licenses, protrusions, zoning and other restrictions, encroachments, and other minor defects or irregularities in title or other similar encumbrances, in each case which do not and will not interfere in any material respect with the value or use of the property to which such Lien is attached or with the ordinary conduct of the business of the Loan Parties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existing on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Tenth Amendment Effective</w:t>
      </w:r>
      <w:r>
        <w:rPr>
          <w:rFonts w:ascii="Times New Roman;Times;Serif" w:hAnsi="Times New Roman;Times;Serif"/>
          <w:b w:val="false"/>
          <w:i w:val="false"/>
          <w:caps w:val="false"/>
          <w:smallCaps w:val="false"/>
          <w:sz w:val="20"/>
        </w:rPr>
        <w:t xml:space="preserve"> Date and described in </w:t>
      </w:r>
      <w:r>
        <w:rPr>
          <w:rFonts w:ascii="Times New Roman;Times;Serif" w:hAnsi="Times New Roman;Times;Serif"/>
          <w:b w:val="false"/>
          <w:i w:val="false"/>
          <w:caps w:val="false"/>
          <w:smallCaps w:val="false"/>
          <w:sz w:val="20"/>
          <w:u w:val="single"/>
        </w:rPr>
        <w:t xml:space="preserve">Schedule 2 </w:t>
      </w:r>
      <w:r>
        <w:rPr>
          <w:rFonts w:ascii="Times New Roman;Times;Serif" w:hAnsi="Times New Roman;Times;Serif"/>
          <w:b w:val="false"/>
          <w:i w:val="false"/>
          <w:caps w:val="false"/>
          <w:smallCaps w:val="false"/>
          <w:sz w:val="20"/>
        </w:rPr>
        <w:t xml:space="preserve">and any modifications, replacements, renewals or extensions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no such Lien extends to any additional property other than after-acquired property that is affixed or incorporated into the property covered by such Lien, and (y) the modification, replacement, renewal, extension or refinancing of the obligations secured or benefited by such Liens (if such obligations constitute Indebtedness) is permitted by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in favor of the Agent, for the benefit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incurred in the ordinary course of business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extension, renewal or replacement (or successive extensions, renewals or replacements), in whole or in part, of any Lien referred to in this definition (other than Liens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extension, renewal or replacement Lien shall be limited to all or a part of the property which secured the Lien so extended, renewed or replaced (plus improvements on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arising out of judgments or awards not resulting in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interest or title of a lessor, licensor or sublessor under any lease, license or sublease entered into by any Loan Party in the ordinary course of its business and covering only the assets so leased, licensed or subleased.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Assignments of insurance or condemnation proceeds provided to landlords (or their mortgagees) pursuant to the terms of any lease and Liens or rights reserved in any lease for rent or for compliance with the terms of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in favor of the Agent or L/C Issuer to Cash Collateralize or otherwise secure the obligations of a Defaulting Lender to fund risk participations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Liens that are customary contractual rights of setoff (i) relating to the establishment of depository relations with banks or other deposit-taking financial institutions in the ordinary course and not given in connection with the issuance of Indebtedness, or (ii) relating to pooled deposit or sweep accounts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to permit satisfaction of overdraft or similar obligations incurred in the ordinary course of business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(i) of a collection bank arising under Section 4-210 of the UCC on the items in the course of collection, (ii) 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Liens existing on property at the time of its acquisition or existing on the property of any Person at the time such Person becomes a Loan Party, in each case, after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does not extend to or cover any other assets or property (other than the proceeds or products thereof and other than after-acquired property of such acquired Loan Party), (ii) the Indebtedness secured thereby is permitted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(iii) such Lien is not created in connection with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on insurance policies and the proceeds thereof securing the financing of the premiums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Liens securing Indebtedness permitted pursuant to </w:t>
      </w:r>
      <w:r>
        <w:rPr>
          <w:rFonts w:ascii="Times New Roman;Times;Serif" w:hAnsi="Times New Roman;Times;Serif"/>
          <w:b w:val="false"/>
          <w:i w:val="false"/>
          <w:caps w:val="false"/>
          <w:smallCaps w:val="false"/>
          <w:sz w:val="20"/>
          <w:u w:val="single"/>
        </w:rPr>
        <w:t>Section 6.11(i)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any such Lien shall encumber only the asset acquired with the proceeds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individual financings otherwise permitted to be secured pursuant to </w:t>
      </w:r>
      <w:r>
        <w:rPr>
          <w:rFonts w:ascii="Times New Roman;Times;Serif" w:hAnsi="Times New Roman;Times;Serif"/>
          <w:b w:val="false"/>
          <w:i w:val="false"/>
          <w:caps w:val="false"/>
          <w:smallCaps w:val="false"/>
          <w:sz w:val="20"/>
          <w:u w:val="single"/>
        </w:rPr>
        <w:t>Section 6.11(i)</w:t>
      </w:r>
      <w:r>
        <w:rPr>
          <w:rFonts w:ascii="Times New Roman;Times;Serif" w:hAnsi="Times New Roman;Times;Serif"/>
          <w:b w:val="false"/>
          <w:i w:val="false"/>
          <w:caps w:val="false"/>
          <w:smallCaps w:val="false"/>
          <w:sz w:val="20"/>
        </w:rPr>
        <w:t xml:space="preserve"> provided by one Person (or its affiliates) may be cross collateralized to other such financings permitted to be secured by </w:t>
      </w:r>
      <w:r>
        <w:rPr>
          <w:rFonts w:ascii="Times New Roman;Times;Serif" w:hAnsi="Times New Roman;Times;Serif"/>
          <w:b w:val="false"/>
          <w:i w:val="false"/>
          <w:caps w:val="false"/>
          <w:smallCaps w:val="false"/>
          <w:sz w:val="20"/>
          <w:u w:val="single"/>
        </w:rPr>
        <w:t>Section 6.11(i)</w:t>
      </w:r>
      <w:r>
        <w:rPr>
          <w:rFonts w:ascii="Times New Roman;Times;Serif" w:hAnsi="Times New Roman;Times;Serif"/>
          <w:b w:val="false"/>
          <w:i w:val="false"/>
          <w:caps w:val="false"/>
          <w:smallCaps w:val="false"/>
          <w:sz w:val="20"/>
        </w:rPr>
        <w:t> provided by such Person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(i) solely on any cash earnest money deposits made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in connection with any letter of intent or purchase agreement permitted hereunder or (ii) consisting of an agreement to consummate a transaction permitted by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restrictions resulting from any zoning or similar law or right reserved to or vested in any governmental office or agency to control or regulate the use of any real property, in each case, which do not and will not interfere with or affect in any material respect the use, value or operations of any real estate asset of the Loan Parties or the ordinary conduct of the business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purported Liens evidenced by the filing of precautionary UCC financing statements relating solely to operating leases of personal property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leases, subleases, non-exclusive licenses or non-exclusive sublicenses granted to other Persons (including with respect to Intellectual Property)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in the ordinary course of business and not interfering in any material respect with the ordinary conduct of the business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such Loan Party and not constituting a disposition of all substantial rights in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Liens on the Equity Interests in joint ventures held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securing obligations of such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options, put and call arrangements, rights of first refusal and similar rights to Investments in joint ventures, partnerships or other similar Investments permitted to be made under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Liens securing Indebtedness permitted pursuant to </w:t>
      </w:r>
      <w:r>
        <w:rPr>
          <w:rFonts w:ascii="Times New Roman;Times;Serif" w:hAnsi="Times New Roman;Times;Serif"/>
          <w:b w:val="false"/>
          <w:i w:val="false"/>
          <w:caps w:val="false"/>
          <w:smallCaps w:val="false"/>
          <w:sz w:val="20"/>
          <w:u w:val="single"/>
        </w:rPr>
        <w:t>Section 6.11(w)</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on accounts receivable and related assets and proceeds thereof arising in connection with a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in no event shall Holdings cause the Equity Interests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Borrower owned by Holdings to be subject to a Lien (other than a Lien in favor of the Agent) securing debt for borrowed money </w:t>
      </w:r>
      <w:r>
        <w:rPr>
          <w:rFonts w:ascii="Times New Roman;Times;Serif" w:hAnsi="Times New Roman;Times;Serif"/>
          <w:b w:val="false"/>
          <w:i w:val="false"/>
          <w:caps w:val="false"/>
          <w:smallCaps w:val="false"/>
          <w:color w:val="0000FF"/>
          <w:sz w:val="20"/>
          <w:u w:val="single"/>
        </w:rPr>
        <w:t>and (ii) Liens on assets of Foreign Loan Parties created pursuant to this Section 6.15 shall not secure Indebtedness in the aggregate at any one time outstanding, in an amount in excess of 10% of Consolidated Total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Negative Pledges</w:t>
      </w:r>
      <w:r>
        <w:rPr>
          <w:rFonts w:ascii="Times New Roman;Times;Serif" w:hAnsi="Times New Roman;Times;Serif"/>
          <w:b w:val="false"/>
          <w:i w:val="false"/>
          <w:caps w:val="false"/>
          <w:smallCaps w:val="false"/>
          <w:sz w:val="20"/>
        </w:rPr>
        <w:t xml:space="preserve">. Except with respect to any Additional Unsecured Senior Debt, Subordinated Indebtedness, the First Cash Senior Notes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any Indebtedness permitted under Section 6.11(w) (and any Permitted Refinancings thereof) </w:t>
      </w:r>
      <w:r>
        <w:rPr>
          <w:rFonts w:ascii="Times New Roman;Times;Serif" w:hAnsi="Times New Roman;Times;Serif"/>
          <w:b w:val="false"/>
          <w:i w:val="false"/>
          <w:caps w:val="false"/>
          <w:smallCaps w:val="false"/>
          <w:color w:val="0000FF"/>
          <w:sz w:val="20"/>
          <w:u w:val="single"/>
        </w:rPr>
        <w:t>and any Incremental Term Loan Facility</w:t>
      </w:r>
      <w:r>
        <w:rPr>
          <w:rFonts w:ascii="Times New Roman;Times;Serif" w:hAnsi="Times New Roman;Times;Serif"/>
          <w:b w:val="false"/>
          <w:i w:val="false"/>
          <w:caps w:val="false"/>
          <w:smallCaps w:val="false"/>
          <w:sz w:val="20"/>
        </w:rPr>
        <w:t xml:space="preserve">, neither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nor any other Loan Party will enter into any agreement prohibiting the creation or assumption of any Lien upon its properties or assets whether now owned or hereafter acquired, except with respect to</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 </w:t>
      </w:r>
      <w:r>
        <w:rPr>
          <w:rFonts w:ascii="Times New Roman;Times;Serif" w:hAnsi="Times New Roman;Times;Serif"/>
          <w:b w:val="false"/>
          <w:i w:val="false"/>
          <w:caps w:val="false"/>
          <w:smallCaps w:val="false"/>
          <w:sz w:val="20"/>
        </w:rPr>
        <w:t xml:space="preserve">specific property encumbered to secure payment of particular Indebtedness or to be sold pursuant to an executed agreement with respect to a disposition permitted under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val="false"/>
          <w:i w:val="false"/>
          <w:caps w:val="false"/>
          <w:smallCaps w:val="false"/>
          <w:sz w:val="20"/>
        </w:rPr>
        <w:t xml:space="preserve">restrictions that (i) are included in a contractual obligation entered into in connection with a disposition permitted 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(or in connection with the payment in full of the Obligations) and (ii) relate only to assets subject to such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restrictions by reason of customary provisions restricting assignments, subletting or other transfers contained in leases, subleases, licenses, sublicenses and other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sz w:val="20"/>
        </w:rPr>
        <w:t>provisions in customary joint venture agreements and other similar agreements applicable to joint ventures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(e) </w:t>
      </w:r>
      <w:r>
        <w:rPr>
          <w:rFonts w:ascii="Times New Roman;Times;Serif" w:hAnsi="Times New Roman;Times;Serif"/>
          <w:b w:val="false"/>
          <w:i w:val="false"/>
          <w:caps w:val="false"/>
          <w:smallCaps w:val="false"/>
          <w:sz w:val="20"/>
        </w:rPr>
        <w:t>restrictions on cash or other deposits or net worth imposed by customers under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(f) </w:t>
      </w:r>
      <w:r>
        <w:rPr>
          <w:rFonts w:ascii="Times New Roman;Times;Serif" w:hAnsi="Times New Roman;Times;Serif"/>
          <w:b w:val="false"/>
          <w:i w:val="false"/>
          <w:caps w:val="false"/>
          <w:smallCaps w:val="false"/>
          <w:sz w:val="20"/>
        </w:rPr>
        <w:t xml:space="preserve">restrictions or conditions related to secured Indebtedness otherwise permitted to be incurred under </w:t>
      </w:r>
      <w:r>
        <w:rPr>
          <w:rFonts w:ascii="Times New Roman;Times;Serif" w:hAnsi="Times New Roman;Times;Serif"/>
          <w:b w:val="false"/>
          <w:i w:val="false"/>
          <w:caps w:val="false"/>
          <w:smallCaps w:val="false"/>
          <w:sz w:val="20"/>
          <w:u w:val="single"/>
        </w:rPr>
        <w:t>Section 6.11(i)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Section 6.11(j) </w:t>
      </w:r>
      <w:r>
        <w:rPr>
          <w:rFonts w:ascii="Times New Roman;Times;Serif" w:hAnsi="Times New Roman;Times;Serif"/>
          <w:b w:val="false"/>
          <w:i w:val="false"/>
          <w:caps w:val="false"/>
          <w:smallCaps w:val="false"/>
          <w:sz w:val="20"/>
        </w:rPr>
        <w:t xml:space="preserve">that limit the right of the obligor to dispose of the assets securing such Indebtedness or if such restrictions or conditions apply only to the Person obligated under such Indebtedness or the property or assets </w:t>
      </w:r>
      <w:r>
        <w:rPr>
          <w:rFonts w:ascii="Times New Roman;Times;Serif" w:hAnsi="Times New Roman;Times;Serif"/>
          <w:b w:val="false"/>
          <w:i w:val="false"/>
          <w:caps w:val="false"/>
          <w:smallCaps w:val="false"/>
          <w:strike/>
          <w:color w:val="FF0000"/>
          <w:sz w:val="20"/>
        </w:rPr>
        <w:t>intended to secure</w:t>
      </w:r>
      <w:r>
        <w:rPr>
          <w:rFonts w:ascii="Times New Roman;Times;Serif" w:hAnsi="Times New Roman;Times;Serif"/>
          <w:b w:val="false"/>
          <w:i w:val="false"/>
          <w:caps w:val="false"/>
          <w:smallCaps w:val="false"/>
          <w:color w:val="0000FF"/>
          <w:sz w:val="20"/>
          <w:u w:val="single"/>
        </w:rPr>
        <w:t>securing</w:t>
      </w:r>
      <w:r>
        <w:rPr>
          <w:rFonts w:ascii="Times New Roman;Times;Serif" w:hAnsi="Times New Roman;Times;Serif"/>
          <w:b w:val="false"/>
          <w:i w:val="false"/>
          <w:caps w:val="false"/>
          <w:smallCaps w:val="false"/>
          <w:sz w:val="20"/>
        </w:rPr>
        <w:t xml:space="preserve">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(g) </w:t>
      </w:r>
      <w:r>
        <w:rPr>
          <w:rFonts w:ascii="Times New Roman;Times;Serif" w:hAnsi="Times New Roman;Times;Serif"/>
          <w:b w:val="false"/>
          <w:i w:val="false"/>
          <w:caps w:val="false"/>
          <w:smallCaps w:val="false"/>
          <w:sz w:val="20"/>
        </w:rPr>
        <w:t>customary restrictions pursuant to the terms of a Permitted Receivables Financing</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(h) </w:t>
      </w:r>
      <w:r>
        <w:rPr>
          <w:rFonts w:ascii="Times New Roman;Times;Serif" w:hAnsi="Times New Roman;Times;Serif"/>
          <w:b w:val="false"/>
          <w:i w:val="false"/>
          <w:caps w:val="false"/>
          <w:smallCaps w:val="false"/>
          <w:sz w:val="20"/>
        </w:rPr>
        <w:t xml:space="preserve">any encumbrances or restrictions of the types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above imposed by any amendments, modifications, restatements, renewals, increases, supplements, refundings, replacements or refinancings of the contracts referred to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amendment, modification, restatement, renewal, increase, supplement, refunding, replacement or refinancing is, in the good faith judgment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no more restrictive with respect to such encumbrance or other restrictions, taken as a whole, than those prior to such amendment, modification, restatement, renewal, increase, supplement, refunding, replacement or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Affiliates</w:t>
      </w:r>
      <w:r>
        <w:rPr>
          <w:rFonts w:ascii="Times New Roman;Times;Serif" w:hAnsi="Times New Roman;Times;Serif"/>
          <w:b w:val="false"/>
          <w:i w:val="false"/>
          <w:caps w:val="false"/>
          <w:smallCaps w:val="false"/>
          <w:sz w:val="20"/>
        </w:rPr>
        <w:t>. The Loan Parties will not, and will not permit any Subsidiary to, enter into any transaction (including, without limitation, the purchase or sale of any Property or service) with, or make any payment or transfer to, any Affiliate except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 </w:t>
      </w:r>
      <w:r>
        <w:rPr>
          <w:rFonts w:ascii="Times New Roman;Times;Serif" w:hAnsi="Times New Roman;Times;Serif"/>
          <w:b w:val="false"/>
          <w:i w:val="false"/>
          <w:caps w:val="false"/>
          <w:smallCaps w:val="false"/>
          <w:sz w:val="20"/>
        </w:rPr>
        <w:t>in the ordinary course of business and pursuant to the reasonable requirements of such Loan Party’s or such Subsidiary’s business and upon fair and reasonable terms no less favorable to such Loan Party or such Subsidiary than such Loan Party or such Subsidiary would obtain in a comparable arm’s length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val="false"/>
          <w:i w:val="false"/>
          <w:caps w:val="false"/>
          <w:smallCaps w:val="false"/>
          <w:sz w:val="20"/>
        </w:rPr>
        <w:t>issuances of Equity Interests by the Loan Parties not constituting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employment and severance arrangements between the Loan Parties and their Subsidiaries and their respective officers and employees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sz w:val="20"/>
        </w:rPr>
        <w:t>the payment of customary fees and reasonable out-of-pocket costs to, and indemnities provided on behalf of, directors, officers and employees of the Loan Parties and the Subsidiaries in the ordinary course of business to the extent attributable to the ownership or operation of the Loan Parties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(e) </w:t>
      </w:r>
      <w:r>
        <w:rPr>
          <w:rFonts w:ascii="Times New Roman;Times;Serif" w:hAnsi="Times New Roman;Times;Serif"/>
          <w:b w:val="false"/>
          <w:i w:val="false"/>
          <w:caps w:val="false"/>
          <w:smallCaps w:val="false"/>
          <w:sz w:val="20"/>
        </w:rPr>
        <w:t xml:space="preserve">dividends or distributions by the Loan Parties or their Subsidiaries, </w:t>
      </w:r>
      <w:r>
        <w:rPr>
          <w:rFonts w:ascii="Times New Roman;Times;Serif" w:hAnsi="Times New Roman;Times;Serif"/>
          <w:b w:val="false"/>
          <w:i w:val="false"/>
          <w:caps w:val="false"/>
          <w:smallCaps w:val="false"/>
          <w:strike/>
          <w:color w:val="FF0000"/>
          <w:sz w:val="20"/>
        </w:rPr>
        <w:t>(f) transactions among the Loan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transactions among the Loan Parties; provided that, this Section 6.17(f) shall be subject, in all respects, to the limitations set forth in the final paragraphs of Sections 6.11, 6.14, 6.15 and 6.21.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g) </w:t>
      </w:r>
      <w:r>
        <w:rPr>
          <w:rFonts w:ascii="Times New Roman;Times;Serif" w:hAnsi="Times New Roman;Times;Serif"/>
          <w:b w:val="false"/>
          <w:i w:val="false"/>
          <w:caps w:val="false"/>
          <w:smallCaps w:val="false"/>
          <w:sz w:val="20"/>
        </w:rPr>
        <w:t>transactions among the Loan Parties and their Subsidiaries expressly permitted by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(h) </w:t>
      </w:r>
      <w:r>
        <w:rPr>
          <w:rFonts w:ascii="Times New Roman;Times;Serif" w:hAnsi="Times New Roman;Times;Serif"/>
          <w:b w:val="false"/>
          <w:i w:val="false"/>
          <w:caps w:val="false"/>
          <w:smallCaps w:val="false"/>
          <w:sz w:val="20"/>
        </w:rPr>
        <w:t>sales of accounts receivable, or participations therein, or any related transaction, in connection with any Permitted Receivables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Non-Loan Party Transactions</w:t>
      </w:r>
      <w:r>
        <w:rPr>
          <w:rFonts w:ascii="Times New Roman;Times;Serif" w:hAnsi="Times New Roman;Times;Serif"/>
          <w:b w:val="false"/>
          <w:i w:val="false"/>
          <w:caps w:val="false"/>
          <w:smallCaps w:val="false"/>
          <w:sz w:val="20"/>
        </w:rPr>
        <w:t xml:space="preserve">. Other than as set forth in this Agreement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First Cash Senior Notes </w:t>
      </w:r>
      <w:r>
        <w:rPr>
          <w:rFonts w:ascii="Times New Roman;Times;Serif" w:hAnsi="Times New Roman;Times;Serif"/>
          <w:b w:val="false"/>
          <w:i w:val="false"/>
          <w:caps w:val="false"/>
          <w:smallCaps w:val="false"/>
          <w:color w:val="0000FF"/>
          <w:sz w:val="20"/>
          <w:u w:val="single"/>
        </w:rPr>
        <w:t>(and any Permitted Refinancings thereof) and any Indebtedness permitted under Section 6.11(j) </w:t>
      </w:r>
      <w:r>
        <w:rPr>
          <w:rFonts w:ascii="Times New Roman;Times;Serif" w:hAnsi="Times New Roman;Times;Serif"/>
          <w:b w:val="false"/>
          <w:i w:val="false"/>
          <w:caps w:val="false"/>
          <w:smallCaps w:val="false"/>
          <w:sz w:val="20"/>
        </w:rPr>
        <w:t>(and any Permitted Refinancings thereof), or to the extent required by applicable law, the Loan Parties will not permit any non-Loan Party Subsidiary to, directly or indirectly, create or otherwise cause or suffer to exist or become effective any encumbrance or restriction on the ability of any such Subsidiary to (a) pay dividends, or other distributions to any Loan Party in respect of such Subsidiary’s Equity Interests owned by such Loan Party, or (b) pay or repay any intercompany loans, royalties or management fees owing by such Subsidiary to any Loan Party, other than restrictions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by reason of customary provisions restricting assignments or other transfers contained in licenses, joint venture agreements and similar agreements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(ii) </w:t>
      </w:r>
      <w:r>
        <w:rPr>
          <w:rFonts w:ascii="Times New Roman;Times;Serif" w:hAnsi="Times New Roman;Times;Serif"/>
          <w:b w:val="false"/>
          <w:i w:val="false"/>
          <w:caps w:val="false"/>
          <w:smallCaps w:val="false"/>
          <w:sz w:val="20"/>
        </w:rPr>
        <w:t>that are or were created by virtue of any transfer of, agreement to transfer or option or right with respect to, any property, assets and/or Equity Interests not otherwise prohibited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(iii) </w:t>
      </w:r>
      <w:r>
        <w:rPr>
          <w:rFonts w:ascii="Times New Roman;Times;Serif" w:hAnsi="Times New Roman;Times;Serif"/>
          <w:b w:val="false"/>
          <w:i w:val="false"/>
          <w:caps w:val="false"/>
          <w:smallCaps w:val="false"/>
          <w:sz w:val="20"/>
        </w:rPr>
        <w:t>that are binding on such Person at the time such Person first becomes a Subsidiary of a Loan Party, so long as such restrictions were not entered into in contemplation of such Person becoming a Subsidiary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(iv) </w:t>
      </w:r>
      <w:r>
        <w:rPr>
          <w:rFonts w:ascii="Times New Roman;Times;Serif" w:hAnsi="Times New Roman;Times;Serif"/>
          <w:b w:val="false"/>
          <w:i w:val="false"/>
          <w:caps w:val="false"/>
          <w:smallCaps w:val="false"/>
          <w:sz w:val="20"/>
        </w:rPr>
        <w:t>arising in connection with a disposition permitted pursuant to Section 6.13 and related only the assets and/or Equity Interests subject to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(v) </w:t>
      </w:r>
      <w:r>
        <w:rPr>
          <w:rFonts w:ascii="Times New Roman;Times;Serif" w:hAnsi="Times New Roman;Times;Serif"/>
          <w:b w:val="false"/>
          <w:i w:val="false"/>
          <w:caps w:val="false"/>
          <w:smallCaps w:val="false"/>
          <w:sz w:val="20"/>
        </w:rPr>
        <w:t>customary provisions in partnership agreements, limited liability company organizational governance documents, asset sale and stock sale agreements and other similar agreements (including equivalent foreign organizational governance documents) entered into in the ordinary course of business that restrict the transfer of ownership interests in such partnership, limited liability company or similar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(vi) </w:t>
      </w:r>
      <w:r>
        <w:rPr>
          <w:rFonts w:ascii="Times New Roman;Times;Serif" w:hAnsi="Times New Roman;Times;Serif"/>
          <w:b w:val="false"/>
          <w:i w:val="false"/>
          <w:caps w:val="false"/>
          <w:smallCaps w:val="false"/>
          <w:sz w:val="20"/>
        </w:rPr>
        <w:t xml:space="preserve">constituting restricted payment and investment covenants contained in any documentation with respect to Indebtedness incurred by a non-Loan Party Subsidiary that are, taken as a whole and in the good faith judgment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no more restrictive with respect to such non-Loan Party Subsidiary than customary market terms for Indebtedness of such type;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(vii) </w:t>
      </w:r>
      <w:r>
        <w:rPr>
          <w:rFonts w:ascii="Times New Roman;Times;Serif" w:hAnsi="Times New Roman;Times;Serif"/>
          <w:b w:val="false"/>
          <w:i w:val="false"/>
          <w:caps w:val="false"/>
          <w:smallCaps w:val="false"/>
          <w:sz w:val="20"/>
        </w:rPr>
        <w:t xml:space="preserve">any encumbrances or restrictions of the types referred to in sub-clauses (i) through (vi) above imposed by any amendments, modifications, restatements, renewals, increases, supplements, refundings, replacements or refinancings of the contracts referred to therein; provided that such amendment, modification, restatement, renewal, increase, supplement, refunding, replacement or refinancing is, in the good faith judgment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no more restrictive with respect to such encumbrance or other restrictions, taken as a whole, than those prior to such amendment, modification, restatement, renewal, increase, supplement, refunding, replacement or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xml:space="preserve">. The parties hereto acknowledge and agree that, with respect to compliance with the financial covenants set forth in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and all calculations made in determining such compliance for any applicable period, all Specified Transactions and the following transactions in connection therewith shall be deemed to have occurred as of the first day of the applicable period of measurement (as of the last date in the case of a balance sheet item) for purposes of such compliance: (i) income statement items (whether positive or negative) attributable to the property or Person subject to such Specified Transaction (A) in the case of a disposition of all or substantially all Equity Interests in any Subsidiary of the Loan Parties or any division used for operations of the Loan Parties or any of its Subsidiaries, shall be excluded, and (B) in the case of an Acquisition, Investment or other Investment described in the definition of “Specified Transaction,” shall be included, (ii) any retirement of Indebtedness, and (iii) any Indebtedness incurred or assumed by the Loan Parties or any of their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pro forma adjustments may be applied to any such compliance calculation solely to the extent that such adjustments are consistent with the definition of Consolidated EBITDA and give effect to events (including operating expense reductions) that are (as determined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good faith) (1) directly attributable to such transaction, (2) expected to have a continuing impact on the Loan Parties and their Subsidiaries, (3) factually supportable and (4) are determined in accordance with Article 11, Regulations S-X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not permit the Fixed Charge Coverage Ratio, determined as of the end of each of its fiscal quarters, to be less than 1.25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Leverage Ratio</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will not permit the Leverage Ratio, determined as of the end of each of its fiscal quarters, </w:t>
      </w:r>
      <w:r>
        <w:rPr>
          <w:rFonts w:ascii="Times New Roman;Times;Serif" w:hAnsi="Times New Roman;Times;Serif"/>
          <w:b w:val="false"/>
          <w:i w:val="false"/>
          <w:caps w:val="false"/>
          <w:smallCaps w:val="false"/>
          <w:strike/>
          <w:color w:val="FF0000"/>
          <w:sz w:val="20"/>
        </w:rPr>
        <w:t xml:space="preserve">(i) for each of the fiscal quarters ending June 30, 2025, September 30, 2025, and December 31, 2025, to be greater than 3.75 to 1.00, (ii) for each of the fiscal quarters ending March 31, 2026, June 30, 2026, September 30, 2026, and December 31, 2026, to be greater than 3.50 to 1.00 and (iii) thereafter, to be greater than 3.25 to 1.00. </w:t>
      </w:r>
      <w:r>
        <w:rPr>
          <w:rFonts w:ascii="Times New Roman;Times;Serif" w:hAnsi="Times New Roman;Times;Serif"/>
          <w:b w:val="false"/>
          <w:i w:val="false"/>
          <w:caps w:val="false"/>
          <w:smallCaps w:val="false"/>
          <w:color w:val="0000FF"/>
          <w:sz w:val="20"/>
          <w:u w:val="single"/>
        </w:rPr>
        <w:t>to be greater than 3.50 to 1.00; provided that, the Borrower Representative shall have the option, following the consummation of a Material Acquisition or Investment and upon receipt of written notice from the US Borrower to the Agent, to increase the maximum Leverage Ratio permitted under this Section 6.19(b) by 0.50 to 1.00 above the then-currently applicable ratio for the four (4) consecutive fiscal quarters ending after the consummation of such Material Acquisition or Investment (such foregoing-described reset option, the “Leverage Ratio Financial Covenant Reset Option”); provided, further, that the Borrower Representative may exercise the Leverage Ratio Financial Covenant Reset Option no more than two (2) times during the remaining tenor of this Agreement as of the Tenth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Subsidiaries as Guarantors</w:t>
      </w:r>
      <w:r>
        <w:rPr>
          <w:rFonts w:ascii="Times New Roman;Times;Serif" w:hAnsi="Times New Roman;Times;Serif"/>
          <w:b w:val="false"/>
          <w:i w:val="false"/>
          <w:caps w:val="false"/>
          <w:smallCaps w:val="false"/>
          <w:sz w:val="20"/>
        </w:rPr>
        <w:t xml:space="preserve">. If, at any time, the aggregate revenue or assets (on a non-consolidated basis) of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those Subsidiaries that are then Loan Guarantors are less than the Aggregate Revenue Threshold, and at any time as so elected by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in its sole discretion,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shall cause one or more other Domestic Subsidiaries to become additional Loan Guarantors in accordance with this </w:t>
      </w:r>
      <w:r>
        <w:rPr>
          <w:rFonts w:ascii="Times New Roman;Times;Serif" w:hAnsi="Times New Roman;Times;Serif"/>
          <w:b w:val="false"/>
          <w:i w:val="false"/>
          <w:caps w:val="false"/>
          <w:smallCaps w:val="false"/>
          <w:sz w:val="20"/>
          <w:u w:val="single"/>
        </w:rPr>
        <w:t>Section 6.20</w:t>
      </w:r>
      <w:r>
        <w:rPr>
          <w:rFonts w:ascii="Times New Roman;Times;Serif" w:hAnsi="Times New Roman;Times;Serif"/>
          <w:b w:val="false"/>
          <w:i w:val="false"/>
          <w:caps w:val="false"/>
          <w:smallCaps w:val="false"/>
          <w:sz w:val="20"/>
        </w:rPr>
        <w:t xml:space="preserve">, within thirty (30) days (which date may be extended by the Agent in its reasonable discretion) after such revenues or assets become less than the Aggregate Revenue Threshold so that after including the revenue and assets of any such additional Loan Guarantors, the aggregate revenue and assets (on a non-consolidated basis) of Holdings,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all such Loan Guarantors would equal or exceed the Aggregate Revenue Threshold (or, if at the election of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within any timeframe selected by the Borrower </w:t>
      </w:r>
      <w:r>
        <w:rPr>
          <w:rFonts w:ascii="Times New Roman;Times;Serif" w:hAnsi="Times New Roman;Times;Serif"/>
          <w:b w:val="false"/>
          <w:i w:val="false"/>
          <w:caps w:val="false"/>
          <w:smallCaps w:val="false"/>
          <w:color w:val="0000FF"/>
          <w:sz w:val="20"/>
          <w:u w:val="single"/>
        </w:rPr>
        <w:t>Representative</w:t>
      </w:r>
      <w:r>
        <w:rPr>
          <w:rFonts w:ascii="Times New Roman;Times;Serif" w:hAnsi="Times New Roman;Times;Serif"/>
          <w:b w:val="false"/>
          <w:i w:val="false"/>
          <w:caps w:val="false"/>
          <w:smallCaps w:val="false"/>
          <w:sz w:val="20"/>
        </w:rPr>
        <w:t xml:space="preserve">). The Borrower </w:t>
      </w:r>
      <w:r>
        <w:rPr>
          <w:rFonts w:ascii="Times New Roman;Times;Serif" w:hAnsi="Times New Roman;Times;Serif"/>
          <w:b w:val="false"/>
          <w:i w:val="false"/>
          <w:caps w:val="false"/>
          <w:smallCaps w:val="false"/>
          <w:color w:val="0000FF"/>
          <w:sz w:val="20"/>
          <w:u w:val="single"/>
        </w:rPr>
        <w:t xml:space="preserve">Representative </w:t>
      </w:r>
      <w:r>
        <w:rPr>
          <w:rFonts w:ascii="Times New Roman;Times;Serif" w:hAnsi="Times New Roman;Times;Serif"/>
          <w:b w:val="false"/>
          <w:i w:val="false"/>
          <w:caps w:val="false"/>
          <w:smallCaps w:val="false"/>
          <w:sz w:val="20"/>
        </w:rPr>
        <w:t xml:space="preserve">shall cause each such Domestic Subsidiary required to become a Loan Guarantor as provided in the immediately preceding sentence to become a Loan Guarantor by executing and delivering to the Agent a Joinder Agreement. </w:t>
      </w:r>
      <w:r>
        <w:rPr>
          <w:rFonts w:ascii="Times New Roman;Times;Serif" w:hAnsi="Times New Roman;Times;Serif"/>
          <w:b w:val="false"/>
          <w:i w:val="false"/>
          <w:caps w:val="false"/>
          <w:smallCaps w:val="false"/>
          <w:color w:val="0000FF"/>
          <w:sz w:val="20"/>
          <w:u w:val="single"/>
        </w:rPr>
        <w:t>For the avoidance of doubt, HTL shall be a Loan Guarantor as of the Tenth Amendment Effective Date. No Foreign Subsidiary shall become a Borrower, Loan Guarantor or other Loan Party after the Tenth Amendment Effective Date unless (i) such Foreign Subsidiary is organized in an Approved Jurisdiction, and (ii) such Foreign Subsidiary has delivered the joinder documentation, organizational documents, authorizing resolutions, tax forms, legal opinions, and other documentation required under Section 1.9 or otherwise reasonably required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The Loan Parties will not, nor will they permit any Subsidiary to, directly or indirectly, declare, order, make or set apart any sum for or pay any Restricted Payment,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 </w:t>
      </w:r>
      <w:r>
        <w:rPr>
          <w:rFonts w:ascii="Times New Roman;Times;Serif" w:hAnsi="Times New Roman;Times;Serif"/>
          <w:b w:val="false"/>
          <w:i w:val="false"/>
          <w:caps w:val="false"/>
          <w:smallCaps w:val="false"/>
          <w:sz w:val="20"/>
        </w:rPr>
        <w:t>to make dividends payable solely in the same class of Equity Interests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val="false"/>
          <w:i w:val="false"/>
          <w:caps w:val="false"/>
          <w:smallCaps w:val="false"/>
          <w:sz w:val="20"/>
        </w:rPr>
        <w:t>to make dividends or other distributions payable to the Loan Parties (directly or indirectly through its Subsidiaries)</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dividends or other distributions payable by a non-Loan Party to another non-Loan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val="false"/>
          <w:i w:val="false"/>
          <w:caps w:val="false"/>
          <w:smallCaps w:val="false"/>
          <w:sz w:val="20"/>
        </w:rPr>
        <w:t xml:space="preserve">(i) regularly scheduled interest payments on Subordinated Indebtedness of any Loan Party and (ii) payments and/or prepayments of principal and related premiums or fees on Subordinated Indebtedness of any Loan Party so long as, after giving effect to such payment or prepayment </w:t>
      </w:r>
      <w:r>
        <w:rPr>
          <w:rFonts w:ascii="Times New Roman;Times;Serif" w:hAnsi="Times New Roman;Times;Serif"/>
          <w:b w:val="false"/>
          <w:i w:val="false"/>
          <w:caps w:val="false"/>
          <w:smallCaps w:val="false"/>
          <w:color w:val="0000FF"/>
          <w:sz w:val="20"/>
          <w:u w:val="single"/>
        </w:rPr>
        <w:t xml:space="preserve">described in the foregoing subclauses (i) and (ii), </w:t>
      </w:r>
      <w:r>
        <w:rPr>
          <w:rFonts w:ascii="Times New Roman;Times;Serif" w:hAnsi="Times New Roman;Times;Serif"/>
          <w:b w:val="false"/>
          <w:i w:val="false"/>
          <w:caps w:val="false"/>
          <w:smallCaps w:val="false"/>
          <w:sz w:val="20"/>
        </w:rPr>
        <w:t xml:space="preserve">on a pro forma basis, (x) no Default </w:t>
      </w:r>
      <w:r>
        <w:rPr>
          <w:rFonts w:ascii="Times New Roman;Times;Serif" w:hAnsi="Times New Roman;Times;Serif"/>
          <w:b w:val="false"/>
          <w:i w:val="false"/>
          <w:caps w:val="false"/>
          <w:smallCaps w:val="false"/>
          <w:strike/>
          <w:color w:val="FF0000"/>
          <w:sz w:val="20"/>
        </w:rPr>
        <w:t>of</w:t>
      </w:r>
      <w:r>
        <w:rPr>
          <w:rFonts w:ascii="Times New Roman;Times;Serif" w:hAnsi="Times New Roman;Times;Serif"/>
          <w:b w:val="false"/>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Unmatured Default has occurred and is continuing or would result therefrom and (y) the Loan Parties and their Subsidiaries are in compliance with the financial covenants in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(e) distributions or payments of Receivables Fees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distributions or payments of Receivables Fees,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(f) </w:t>
      </w:r>
      <w:r>
        <w:rPr>
          <w:rFonts w:ascii="Times New Roman;Times;Serif" w:hAnsi="Times New Roman;Times;Serif"/>
          <w:b w:val="false"/>
          <w:i w:val="false"/>
          <w:caps w:val="false"/>
          <w:smallCaps w:val="false"/>
          <w:sz w:val="20"/>
        </w:rPr>
        <w:t xml:space="preserve">repurchases of Equity Interests of the Loan Parties and cash dividends by the Loan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after giving effect to such repurchase on a pro forma basis, (i) no Default or Unmatured Default has occurred and is continuing or would result therefrom and (ii) the Loan Parties and their Subsidiaries are in compliance with the financial covenants in Section 6.19</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further</w:t>
      </w:r>
      <w:r>
        <w:rPr>
          <w:rFonts w:ascii="Times New Roman;Times;Serif" w:hAnsi="Times New Roman;Times;Serif"/>
          <w:b w:val="false"/>
          <w:i w:val="false"/>
          <w:caps w:val="false"/>
          <w:smallCaps w:val="false"/>
          <w:strike/>
          <w:color w:val="FF0000"/>
          <w:sz w:val="20"/>
        </w:rPr>
        <w:t xml:space="preserve">, that (A) if the Leverage Ratio, determined as of the end of any fiscal quarter, is greater than or equal to 3.25 to 1.00, but is less than 3.50 to 1.00, then Restricted Payments payable pursuant to this </w:t>
      </w:r>
      <w:r>
        <w:rPr>
          <w:rFonts w:ascii="Times New Roman;Times;Serif" w:hAnsi="Times New Roman;Times;Serif"/>
          <w:b w:val="false"/>
          <w:i w:val="false"/>
          <w:caps w:val="false"/>
          <w:smallCaps w:val="false"/>
          <w:strike/>
          <w:color w:val="FF0000"/>
          <w:sz w:val="20"/>
          <w:u w:val="single"/>
        </w:rPr>
        <w:t>clause (f)</w:t>
      </w:r>
      <w:r>
        <w:rPr>
          <w:rFonts w:ascii="Times New Roman;Times;Serif" w:hAnsi="Times New Roman;Times;Serif"/>
          <w:b w:val="false"/>
          <w:i w:val="false"/>
          <w:caps w:val="false"/>
          <w:smallCaps w:val="false"/>
          <w:strike/>
          <w:color w:val="FF0000"/>
          <w:sz w:val="20"/>
        </w:rPr>
        <w:t xml:space="preserve"> for the following fiscal quarter shall be limited to 50% of the Consolidated Net Income for the prior fiscal quarter (for the avoidance of doubt, determined on a stand-alone basis and not for the four fiscal quarter period then ended), (B) if the Leverage Ratio, determined as of the end of any fiscal quarter, is greater than or equal to 3.00 to 1.00, but is less than 3.25 to 1.00, then Restricted Payments payable pursuant to this </w:t>
      </w:r>
      <w:r>
        <w:rPr>
          <w:rFonts w:ascii="Times New Roman;Times;Serif" w:hAnsi="Times New Roman;Times;Serif"/>
          <w:b w:val="false"/>
          <w:i w:val="false"/>
          <w:caps w:val="false"/>
          <w:smallCaps w:val="false"/>
          <w:strike/>
          <w:color w:val="FF0000"/>
          <w:sz w:val="20"/>
          <w:u w:val="single"/>
        </w:rPr>
        <w:t>clause (f)</w:t>
      </w:r>
      <w:r>
        <w:rPr>
          <w:rFonts w:ascii="Times New Roman;Times;Serif" w:hAnsi="Times New Roman;Times;Serif"/>
          <w:b w:val="false"/>
          <w:i w:val="false"/>
          <w:caps w:val="false"/>
          <w:smallCaps w:val="false"/>
          <w:strike/>
          <w:color w:val="FF0000"/>
          <w:sz w:val="20"/>
        </w:rPr>
        <w:t xml:space="preserve"> for the following fiscal quarter shall be limited to 75% of the Consolidated Net Income for the prior fiscal quarter (for the avoidance of doubt, determined on a stand-alone basis and not for the four fiscal quarter period then ended) and (C) if the Leverage Ratio, determined as of the end of any fiscal quarter, is less than 3.00 to 1.00, then Restricted Payments payable pursuant to this </w:t>
      </w:r>
      <w:r>
        <w:rPr>
          <w:rFonts w:ascii="Times New Roman;Times;Serif" w:hAnsi="Times New Roman;Times;Serif"/>
          <w:b w:val="false"/>
          <w:i w:val="false"/>
          <w:caps w:val="false"/>
          <w:smallCaps w:val="false"/>
          <w:strike/>
          <w:color w:val="FF0000"/>
          <w:sz w:val="20"/>
          <w:u w:val="single"/>
        </w:rPr>
        <w:t>clause (f)</w:t>
      </w:r>
      <w:r>
        <w:rPr>
          <w:rFonts w:ascii="Times New Roman;Times;Serif" w:hAnsi="Times New Roman;Times;Serif"/>
          <w:b w:val="false"/>
          <w:i w:val="false"/>
          <w:caps w:val="false"/>
          <w:smallCaps w:val="false"/>
          <w:strike/>
          <w:color w:val="FF0000"/>
          <w:sz w:val="20"/>
        </w:rPr>
        <w:t xml:space="preserve"> for the following fiscal quarter shall be unlimited;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finally</w:t>
      </w:r>
      <w:r>
        <w:rPr>
          <w:rFonts w:ascii="Times New Roman;Times;Serif" w:hAnsi="Times New Roman;Times;Serif"/>
          <w:b w:val="false"/>
          <w:i w:val="false"/>
          <w:caps w:val="false"/>
          <w:smallCaps w:val="false"/>
          <w:strike/>
          <w:color w:val="FF0000"/>
          <w:sz w:val="20"/>
        </w:rPr>
        <w:t xml:space="preserve">, that, notwithstanding the foregoing or anything else herein to the contrary, if the Leverage Ratio, determined as of the end of any fiscal quarter occurring during the fiscal years ending December 31, 2025 and December 31, 2026, is greater than or equal to 3.50 to 1.00, then repurchases of Equity Interests of the Loan Parties pursuant to this </w:t>
      </w:r>
      <w:r>
        <w:rPr>
          <w:rFonts w:ascii="Times New Roman;Times;Serif" w:hAnsi="Times New Roman;Times;Serif"/>
          <w:b w:val="false"/>
          <w:i w:val="false"/>
          <w:caps w:val="false"/>
          <w:smallCaps w:val="false"/>
          <w:strike/>
          <w:color w:val="FF0000"/>
          <w:sz w:val="20"/>
          <w:u w:val="single"/>
        </w:rPr>
        <w:t>clause (f)</w:t>
      </w:r>
      <w:r>
        <w:rPr>
          <w:rFonts w:ascii="Times New Roman;Times;Serif" w:hAnsi="Times New Roman;Times;Serif"/>
          <w:b w:val="false"/>
          <w:i w:val="false"/>
          <w:caps w:val="false"/>
          <w:smallCaps w:val="false"/>
          <w:strike/>
          <w:color w:val="FF0000"/>
          <w:sz w:val="20"/>
        </w:rPr>
        <w:t xml:space="preserve"> shall not be permitted in any event for the then-remaining portion of the period from and including the Ninth Amendment Effective Date through and including December 31, 2026.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and anything else herein to the contrary, the aggregate amount of Restricted Payments made by Domestic Loan Parties to Foreign Loan Parties pursuant to all baskets and permissions set forth in this Section 6.21 shall not exceed in the aggregate an amount equal to 20%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          </w:t>
      </w:r>
      <w:r>
        <w:rPr>
          <w:rFonts w:ascii="Times New Roman;Times;Serif" w:hAnsi="Times New Roman;Times;Serif"/>
          <w:b w:val="false"/>
          <w:i w:val="false"/>
          <w:caps w:val="false"/>
          <w:smallCaps w:val="false"/>
          <w:sz w:val="20"/>
          <w:u w:val="single"/>
        </w:rPr>
        <w:t>Corporate Changes</w:t>
      </w:r>
      <w:r>
        <w:rPr>
          <w:rFonts w:ascii="Times New Roman;Times;Serif" w:hAnsi="Times New Roman;Times;Serif"/>
          <w:b w:val="false"/>
          <w:i w:val="false"/>
          <w:caps w:val="false"/>
          <w:smallCaps w:val="false"/>
          <w:color w:val="0000FF"/>
          <w:sz w:val="20"/>
          <w:u w:val="single"/>
        </w:rPr>
        <w:t>. No Loan Party will, nor will it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change its fiscal year (other than to align such Loan Party’s or such Subsidiary’s fiscal year with the fiscal year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No Loan Party will, nor will it permit any of its Subsidiaries to, (a) change its fiscal year, (b) </w:t>
      </w:r>
      <w:r>
        <w:rPr>
          <w:rFonts w:ascii="Times New Roman;Times;Serif" w:hAnsi="Times New Roman;Times;Serif"/>
          <w:b w:val="false"/>
          <w:i w:val="false"/>
          <w:caps w:val="false"/>
          <w:smallCaps w:val="false"/>
          <w:sz w:val="20"/>
        </w:rPr>
        <w:t>amend, modify or change its articles of incorporation, certificate of designation (or corporate charter or other similar organizational document) operating agreement or bylaws (or other similar document) in any respect materially adverse to the interests of the Lenders</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val="false"/>
          <w:i w:val="false"/>
          <w:caps w:val="false"/>
          <w:smallCaps w:val="false"/>
          <w:sz w:val="20"/>
        </w:rPr>
        <w:t>change its accounting method (except in accordance with GAAP) in any manner adverse to the interests of the Lenders, in each case, without the prior written consent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Loan Parties shall, and will cause each Subsidiary to, keep proper books, records and accounts in which true and correct entries in all material respects shall be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           </w:t>
      </w:r>
      <w:r>
        <w:rPr>
          <w:rFonts w:ascii="Times New Roman;Times;Serif" w:hAnsi="Times New Roman;Times;Serif"/>
          <w:b w:val="false"/>
          <w:i w:val="false"/>
          <w:caps w:val="false"/>
          <w:smallCaps w:val="false"/>
          <w:sz w:val="20"/>
          <w:u w:val="single"/>
        </w:rPr>
        <w:t>Public/Private Designation</w:t>
      </w:r>
      <w:r>
        <w:rPr>
          <w:rFonts w:ascii="Times New Roman;Times;Serif" w:hAnsi="Times New Roman;Times;Serif"/>
          <w:b w:val="false"/>
          <w:i w:val="false"/>
          <w:caps w:val="false"/>
          <w:smallCaps w:val="false"/>
          <w:sz w:val="20"/>
        </w:rPr>
        <w:t>. The Loan Parties shall, and will cause each Subsidiary to, cooperate with the Agent in connection with the publication of certain materials and/or information provided by or on behalf of the Loan Parties to the Agent and Lenders (collectively, “</w:t>
      </w:r>
      <w:r>
        <w:rPr>
          <w:rFonts w:ascii="Times New Roman;Times;Serif" w:hAnsi="Times New Roman;Times;Serif"/>
          <w:b w:val="false"/>
          <w:i w:val="false"/>
          <w:caps w:val="false"/>
          <w:smallCaps w:val="false"/>
          <w:sz w:val="20"/>
          <w:u w:val="single"/>
        </w:rPr>
        <w:t>Information Materials</w:t>
      </w:r>
      <w:r>
        <w:rPr>
          <w:rFonts w:ascii="Times New Roman;Times;Serif" w:hAnsi="Times New Roman;Times;Serif"/>
          <w:b w:val="false"/>
          <w:i w:val="false"/>
          <w:caps w:val="false"/>
          <w:smallCaps w:val="false"/>
          <w:sz w:val="20"/>
        </w:rPr>
        <w:t>”) and will designate Information Materials (i) that are either available to the public or not material with respect to the Loan Parties and their Subsidiaries or any of their respective securities for purposes of United States federal and state securities laws, as “Public Information” and (ii) that are not Public Information as “Private Information”</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occurrence of any one or more of the following events shall constitute a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other than with respect to the representations and warranties and covenants that are expressly applicable as of the Effective Date, the occurrence of the following events shall only constitute a Default to the extent they occur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Misrepresentations</w:t>
      </w:r>
      <w:r>
        <w:rPr>
          <w:rFonts w:ascii="Times New Roman;Times;Serif" w:hAnsi="Times New Roman;Times;Serif"/>
          <w:b w:val="false"/>
          <w:i w:val="false"/>
          <w:caps w:val="false"/>
          <w:smallCaps w:val="false"/>
          <w:sz w:val="20"/>
        </w:rPr>
        <w:t>. Any representation or warranty made or deemed made by or on behalf of the Loan Parties or any of their Subsidiaries to the Lenders or the Agent under or in connection with this Agreement, any Loan, or any certificate or information delivered in connection with this Agreement or any other Loan Document shall be materially false on the date as of which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Nonpayment of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Nonpayment of principal of any Loan when due, or nonpayment of interest upon any Loan or of any </w:t>
      </w:r>
      <w:r>
        <w:rPr>
          <w:rFonts w:ascii="Times New Roman;Times;Serif" w:hAnsi="Times New Roman;Times;Serif"/>
          <w:b w:val="false"/>
          <w:i w:val="false"/>
          <w:caps w:val="false"/>
          <w:smallCaps w:val="false"/>
          <w:strike/>
          <w:color w:val="FF0000"/>
          <w:sz w:val="20"/>
        </w:rPr>
        <w:t>commitment fee</w:t>
      </w:r>
      <w:r>
        <w:rPr>
          <w:rFonts w:ascii="Times New Roman;Times;Serif" w:hAnsi="Times New Roman;Times;Serif"/>
          <w:b w:val="false"/>
          <w:i w:val="false"/>
          <w:caps w:val="false"/>
          <w:smallCaps w:val="false"/>
          <w:color w:val="0000FF"/>
          <w:sz w:val="20"/>
          <w:u w:val="single"/>
        </w:rPr>
        <w:t>Commitment Fee</w:t>
      </w:r>
      <w:r>
        <w:rPr>
          <w:rFonts w:ascii="Times New Roman;Times;Serif" w:hAnsi="Times New Roman;Times;Serif"/>
          <w:b w:val="false"/>
          <w:i w:val="false"/>
          <w:caps w:val="false"/>
          <w:smallCaps w:val="false"/>
          <w:sz w:val="20"/>
        </w:rPr>
        <w:t xml:space="preserve"> or other obligations (except Reimbursement Obligations) under any of the Loan Documents within three (3) Business Days after the same becomes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Nonpayment of any Reimbursement Obligation within three (3) Business Days after L/C Issuer’s written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Breach of Article VI Covenants</w:t>
      </w:r>
      <w:r>
        <w:rPr>
          <w:rFonts w:ascii="Times New Roman;Times;Serif" w:hAnsi="Times New Roman;Times;Serif"/>
          <w:b w:val="false"/>
          <w:i w:val="false"/>
          <w:caps w:val="false"/>
          <w:smallCaps w:val="false"/>
          <w:sz w:val="20"/>
        </w:rPr>
        <w:t xml:space="preserve">. The breach by any Loan Party of any of the terms or provisions of </w:t>
      </w:r>
      <w:r>
        <w:rPr>
          <w:rFonts w:ascii="Times New Roman;Times;Serif" w:hAnsi="Times New Roman;Times;Serif"/>
          <w:b w:val="false"/>
          <w:i w:val="false"/>
          <w:caps w:val="false"/>
          <w:smallCaps w:val="false"/>
          <w:sz w:val="20"/>
          <w:u w:val="single"/>
        </w:rPr>
        <w:t>subsections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subsections 6.3(a)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6.4</w:t>
      </w:r>
      <w:r>
        <w:rPr>
          <w:rFonts w:ascii="Times New Roman;Times;Serif" w:hAnsi="Times New Roman;Times;Serif"/>
          <w:b w:val="false"/>
          <w:i w:val="false"/>
          <w:caps w:val="false"/>
          <w:smallCaps w:val="false"/>
          <w:sz w:val="20"/>
        </w:rPr>
        <w:t xml:space="preserve"> (solely as such covenant relates to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in respect of maintenance of its valid existence and good standing in its jurisdiction of domicile) or </w:t>
      </w:r>
      <w:r>
        <w:rPr>
          <w:rFonts w:ascii="Times New Roman;Times;Serif" w:hAnsi="Times New Roman;Times;Serif"/>
          <w:b w:val="false"/>
          <w:i w:val="false"/>
          <w:caps w:val="false"/>
          <w:smallCaps w:val="false"/>
          <w:sz w:val="20"/>
          <w:u w:val="single"/>
        </w:rPr>
        <w:t>6.11</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xml:space="preserve">6.22 </w:t>
      </w:r>
      <w:r>
        <w:rPr>
          <w:rFonts w:ascii="Times New Roman;Times;Serif" w:hAnsi="Times New Roman;Times;Serif"/>
          <w:b w:val="false"/>
          <w:i w:val="false"/>
          <w:caps w:val="false"/>
          <w:smallCaps w:val="false"/>
          <w:sz w:val="20"/>
        </w:rPr>
        <w:t>(but only to the extent that the failure to perform or observe the covenants in Section 6.11, 6.14 and 6.15 involves an aggregate (taking into account the amount of all such breaches) in excess of $20,000,000).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Breach of Other Covenants</w:t>
      </w:r>
      <w:r>
        <w:rPr>
          <w:rFonts w:ascii="Times New Roman;Times;Serif" w:hAnsi="Times New Roman;Times;Serif"/>
          <w:b w:val="false"/>
          <w:i w:val="false"/>
          <w:caps w:val="false"/>
          <w:smallCaps w:val="false"/>
          <w:sz w:val="20"/>
        </w:rPr>
        <w:t xml:space="preserve">. The breach by any Loan Party (other than a breach which constitutes a Default under another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any of the terms or provisions of this Agreement or any other Loan Document, including, without limitation, the failure to perform or observe the covenants in Sections 6.11, 6.14 and 6.15 involving an aggregate (taking into account the amount of all such breaches) amount equal to or less than $20,000,000;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only, such breach or failure to comply is not cured (to the extent capable of being cured) within thirty (30) days of its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Bankruptcy Default</w:t>
      </w:r>
      <w:r>
        <w:rPr>
          <w:rFonts w:ascii="Times New Roman;Times;Serif" w:hAnsi="Times New Roman;Times;Serif"/>
          <w:b w:val="false"/>
          <w:i w:val="false"/>
          <w:caps w:val="false"/>
          <w:smallCaps w:val="false"/>
          <w:sz w:val="20"/>
        </w:rPr>
        <w:t>. (i) A Loan Party or any of its Subsidiaries (other than an Immaterial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 up, liquidation, dissolution, composition or other relief with respect to it or its debts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(other than in connection with the Foreign Restructuring or any other dissolution or other transaction permitted hereunder),</w:t>
      </w:r>
      <w:r>
        <w:rPr>
          <w:rFonts w:ascii="Times New Roman;Times;Serif" w:hAnsi="Times New Roman;Times;Serif"/>
          <w:b w:val="false"/>
          <w:i w:val="false"/>
          <w:caps w:val="false"/>
          <w:smallCaps w:val="false"/>
          <w:sz w:val="20"/>
        </w:rPr>
        <w:t xml:space="preserve"> or (B) seeking appointment of a receiver, trustee, custodian, conservator or other similar official for it or for all or any substantial part of its assets, or a Loan Party or any of its Subsidiaries (other than an Immaterial Subsidiary) shall make a general assignment for the benefit of its creditors; or (ii) there shall be commenced against a Loan Party or any of its Subsidiaries (other than an Immaterial Subsidiary) any case, proceeding or other action of a nature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above which (A) results in the entry of an order for relief or any such adjudication or appointment or (B) remains undismissed, undischarged or unbonded for a period of sixty (60) days; or (iii) there shall be commenced against a Loan Party or any of its Subsidiaries (other than an Immaterial Subsidiary) any case, proceeding or other action seeking issuance of a warrant of attachment, execution, distraint or similar process against all or any substantial part of their assets which results in the entry of an order for any such relief which shall not have been vacated, discharged, or stayed or bonded pending appeal within sixty (60) days from the entry thereof; or (iv) a Loan Party or any of its Subsidiaries (other than an Immaterial Subsidiary) shall take any action in furtherance of, or indicating its consent to, approval of, or acquiescence in, any of the acts set forth in clause (i), (ii), or (iii) above; or (v) a Loan Party or any of its Subsidiaries (other than an Immaterial Subsidiary) shall generally not, or shall be unable to, or shall admit in writing their inability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 Any Loan Party or any of its Subsidiaries shall be in default in respect of any Indebtedness (other than the Obligations) having a principal amount in excess of $</w:t>
      </w:r>
      <w:r>
        <w:rPr>
          <w:rFonts w:ascii="Times New Roman;Times;Serif" w:hAnsi="Times New Roman;Times;Serif"/>
          <w:b w:val="false"/>
          <w:i w:val="false"/>
          <w:caps w:val="false"/>
          <w:smallCaps w:val="false"/>
          <w:strike/>
          <w:color w:val="FF0000"/>
          <w:sz w:val="20"/>
        </w:rPr>
        <w:t>30,000,000</w:t>
      </w:r>
      <w:r>
        <w:rPr>
          <w:rFonts w:ascii="Times New Roman;Times;Serif" w:hAnsi="Times New Roman;Times;Serif"/>
          <w:b w:val="false"/>
          <w:i w:val="false"/>
          <w:caps w:val="false"/>
          <w:smallCaps w:val="false"/>
          <w:color w:val="0000FF"/>
          <w:sz w:val="20"/>
          <w:u w:val="single"/>
        </w:rPr>
        <w:t>50,000,000</w:t>
      </w:r>
      <w:r>
        <w:rPr>
          <w:rFonts w:ascii="Times New Roman;Times;Serif" w:hAnsi="Times New Roman;Times;Serif"/>
          <w:b w:val="false"/>
          <w:i w:val="false"/>
          <w:caps w:val="false"/>
          <w:smallCaps w:val="false"/>
          <w:sz w:val="20"/>
        </w:rPr>
        <w:t xml:space="preserve">, after taking into account all applicable requirements of notice, grace and cure;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not apply to (x) secured Indebtedness that becomes due as a result of the voluntary sale or transfer of the property or assets securing such Indebtedness, if such sale or transfer and the repayment of such Indebtedness is permitted hereunder and under the documents providing for such Indebtedness or (y) termination events or similar events occurring under any Swap Agreement unless such Loan Party or such Subsidiary has failed to make any payment required as a result of any such termination or similar event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further</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notwithstanding the foregoing, the occurrence of any acceleration or demand for acceleration, repayment, redemption or repurchase of or any default or event of default under the 2018 Cash America Notes or the related indenture, to the extent proximately caused by the Enova Disposition, shall not result in a Default or an Unmatured Default pursuant to this </w:t>
      </w:r>
      <w:r>
        <w:rPr>
          <w:rFonts w:ascii="Times New Roman;Times;Serif" w:hAnsi="Times New Roman;Times;Serif"/>
          <w:b w:val="false"/>
          <w:i w:val="false"/>
          <w:caps w:val="false"/>
          <w:smallCaps w:val="false"/>
          <w:strike/>
          <w:color w:val="FF0000"/>
          <w:sz w:val="20"/>
          <w:u w:val="single"/>
        </w:rPr>
        <w:t>Section 7.6</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w:t>
      </w:r>
      <w:r>
        <w:rPr>
          <w:rFonts w:ascii="Times New Roman;Times;Serif" w:hAnsi="Times New Roman;Times;Serif"/>
          <w:b w:val="false"/>
          <w:i w:val="false"/>
          <w:caps w:val="false"/>
          <w:smallCaps w:val="false"/>
          <w:sz w:val="20"/>
          <w:u w:val="single"/>
        </w:rPr>
        <w:t>Invalidity of Guaranty</w:t>
      </w:r>
      <w:r>
        <w:rPr>
          <w:rFonts w:ascii="Times New Roman;Times;Serif" w:hAnsi="Times New Roman;Times;Serif"/>
          <w:b w:val="false"/>
          <w:i w:val="false"/>
          <w:caps w:val="false"/>
          <w:smallCaps w:val="false"/>
          <w:sz w:val="20"/>
        </w:rPr>
        <w:t xml:space="preserve">. Except (i) in accordance with its terms, (ii) pursuant to any disposition permitted under this Agreement or (iii) in connection with the payment in full of the Obligations, </w:t>
      </w:r>
      <w:r>
        <w:rPr>
          <w:rFonts w:ascii="Times New Roman;Times;Serif" w:hAnsi="Times New Roman;Times;Serif"/>
          <w:b w:val="false"/>
          <w:i w:val="false"/>
          <w:caps w:val="false"/>
          <w:smallCaps w:val="false"/>
          <w:color w:val="0000FF"/>
          <w:sz w:val="20"/>
          <w:u w:val="single"/>
        </w:rPr>
        <w:t xml:space="preserve">and (in respect of any Loan Party incorporated under the laws of England and Wales) subject to the Legal Reservations, </w:t>
      </w:r>
      <w:r>
        <w:rPr>
          <w:rFonts w:ascii="Times New Roman;Times;Serif" w:hAnsi="Times New Roman;Times;Serif"/>
          <w:b w:val="false"/>
          <w:i w:val="false"/>
          <w:caps w:val="false"/>
          <w:smallCaps w:val="false"/>
          <w:sz w:val="20"/>
        </w:rPr>
        <w:t>any Loan Guaranty shall fail to remain in full force or effect or any action shall be taken by any Loan Guarantor to discontinue or to assert the invalidity or unenforceability of any Loan Guaranty, or any Loan Guarantor shall deny in writing that it has any additional or further liability under any Loan Guaranty to which it is a party, or shall give notice to such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Change in Control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w:t>
      </w:r>
      <w:r>
        <w:rPr>
          <w:rFonts w:ascii="Times New Roman;Times;Serif" w:hAnsi="Times New Roman;Times;Serif"/>
          <w:b w:val="false"/>
          <w:i w:val="false"/>
          <w:caps w:val="false"/>
          <w:smallCaps w:val="false"/>
          <w:sz w:val="20"/>
          <w:u w:val="single"/>
        </w:rPr>
        <w:t>Judgment Default</w:t>
      </w:r>
      <w:r>
        <w:rPr>
          <w:rFonts w:ascii="Times New Roman;Times;Serif" w:hAnsi="Times New Roman;Times;Serif"/>
          <w:b w:val="false"/>
          <w:i w:val="false"/>
          <w:caps w:val="false"/>
          <w:smallCaps w:val="false"/>
          <w:sz w:val="20"/>
        </w:rPr>
        <w:t>. (i) One or more judgments or decrees shall be entered against a Loan Party or any of its Subsidiaries (other than an Immaterial Subsidiary) involving in the aggregate a liability (to the extent not covered by insurance) of $</w:t>
      </w:r>
      <w:r>
        <w:rPr>
          <w:rFonts w:ascii="Times New Roman;Times;Serif" w:hAnsi="Times New Roman;Times;Serif"/>
          <w:b w:val="false"/>
          <w:i w:val="false"/>
          <w:caps w:val="false"/>
          <w:smallCaps w:val="false"/>
          <w:strike/>
          <w:color w:val="FF0000"/>
          <w:sz w:val="20"/>
        </w:rPr>
        <w:t>30,000,000 or</w:t>
      </w:r>
      <w:r>
        <w:rPr>
          <w:rFonts w:ascii="Times New Roman;Times;Serif" w:hAnsi="Times New Roman;Times;Serif"/>
          <w:b w:val="false"/>
          <w:i w:val="false"/>
          <w:caps w:val="false"/>
          <w:smallCaps w:val="false"/>
          <w:color w:val="0000FF"/>
          <w:sz w:val="20"/>
          <w:u w:val="single"/>
        </w:rPr>
        <w:t>50,000,000 or</w:t>
      </w:r>
      <w:r>
        <w:rPr>
          <w:rFonts w:ascii="Times New Roman;Times;Serif" w:hAnsi="Times New Roman;Times;Serif"/>
          <w:b w:val="false"/>
          <w:i w:val="false"/>
          <w:caps w:val="false"/>
          <w:smallCaps w:val="false"/>
          <w:sz w:val="20"/>
        </w:rPr>
        <w:t xml:space="preserve"> more and all such judgments or decrees shall not have been paid and satisfied, vacated, discharged, stayed or bonded pending appeal within the earlier of (A) ten (10) Business Days from the entry thereof or (B) the expiration of the period during which an appeal of such judgment or decree is permitted or (ii) any injunction, temporary restraining order or similar decree shall be issued against a Loan Party or any of its Subsidiaries that, individually or in the aggregate, could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w:t>
      </w:r>
      <w:r>
        <w:rPr>
          <w:rFonts w:ascii="Times New Roman;Times;Serif" w:hAnsi="Times New Roman;Times;Serif"/>
          <w:b w:val="false"/>
          <w:i w:val="false"/>
          <w:caps w:val="false"/>
          <w:smallCaps w:val="false"/>
          <w:sz w:val="20"/>
          <w:u w:val="single"/>
        </w:rPr>
        <w:t>ERISA Default</w:t>
      </w:r>
      <w:r>
        <w:rPr>
          <w:rFonts w:ascii="Times New Roman;Times;Serif" w:hAnsi="Times New Roman;Times;Serif"/>
          <w:b w:val="false"/>
          <w:i w:val="false"/>
          <w:caps w:val="false"/>
          <w:smallCaps w:val="false"/>
          <w:sz w:val="20"/>
        </w:rPr>
        <w:t>. The occurrence of any of the following: (i) a Lien in favor of the PBGC or a Plan that is reasonably expected to result in material liability to a Loan Party or Subsidiary shall arise on the assets of a Loan Party or any Subsidiary of a Loan Party, (ii) a Reportable Event shall occur with respect to any Plan that is reasonably expected to result in material liability to a Loan Party or Subsidiary of a Loan Party, (iii) proceedings for the termination of, or the appointment of a trustee to administer, any Plan shall be instituted by the PBGC if such proceedings are reasonably expected to result in liability to a Loan Party or any Subsidiary of a Loan Party, or (iv) a Loan Party or any Subsidiary of a Loan Party shall incur any liability that could be reasonably expected to result in a Material Adverse Effect in connection with a complete or partial withdrawal from, or the “insolvency” (within the meaning of Section 4245 of ERISA) or “reorganization” (within the meaning of Section 4241 of ERISA) of, any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          </w:t>
      </w:r>
      <w:r>
        <w:rPr>
          <w:rFonts w:ascii="Times New Roman;Times;Serif" w:hAnsi="Times New Roman;Times;Serif"/>
          <w:b w:val="false"/>
          <w:i w:val="false"/>
          <w:caps w:val="false"/>
          <w:smallCaps w:val="false"/>
          <w:sz w:val="20"/>
          <w:u w:val="single"/>
        </w:rPr>
        <w:t>Reviews and/or Fines</w:t>
      </w:r>
      <w:r>
        <w:rPr>
          <w:rFonts w:ascii="Times New Roman;Times;Serif" w:hAnsi="Times New Roman;Times;Serif"/>
          <w:b w:val="false"/>
          <w:i w:val="false"/>
          <w:caps w:val="false"/>
          <w:smallCaps w:val="false"/>
          <w:sz w:val="20"/>
        </w:rPr>
        <w:t xml:space="preserve">. (i) The final and non-appealable results of any investigation, review or proceeding instituted against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Loan Party by a Governmental Authority or (ii) the levy of any final and non-appealable fine against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Loan Party in connection therewith, in the case of (i) or (ii)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ACCELERATION, WAIVERS, AMENDMENTS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xml:space="preserve">. If any Default described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occurs with respect to any Loan Party or any of its Subsidiaries, the obligations of the Lenders to make Loans hereunder shall automatically terminate and the Obligations shall immediately become due and payable</w:t>
      </w:r>
      <w:r>
        <w:rPr>
          <w:rFonts w:ascii="Times New Roman;Times;Serif" w:hAnsi="Times New Roman;Times;Serif"/>
          <w:b w:val="false"/>
          <w:i w:val="false"/>
          <w:caps w:val="false"/>
          <w:smallCaps w:val="false"/>
          <w:color w:val="0000FF"/>
          <w:sz w:val="20"/>
          <w:u w:val="single"/>
        </w:rPr>
        <w:t>, and the obligation of the Borrowers to secure the L/C Obligations with Cash Collateral as described in the last sentence of this Section 8.1 shall automatically become effective, in each case</w:t>
      </w:r>
      <w:r>
        <w:rPr>
          <w:rFonts w:ascii="Times New Roman;Times;Serif" w:hAnsi="Times New Roman;Times;Serif"/>
          <w:b w:val="false"/>
          <w:i w:val="false"/>
          <w:caps w:val="false"/>
          <w:smallCaps w:val="false"/>
          <w:sz w:val="20"/>
        </w:rPr>
        <w:t xml:space="preserve"> without any election or action </w:t>
      </w:r>
      <w:r>
        <w:rPr>
          <w:rFonts w:ascii="Times New Roman;Times;Serif" w:hAnsi="Times New Roman;Times;Serif"/>
          <w:b w:val="false"/>
          <w:i w:val="false"/>
          <w:caps w:val="false"/>
          <w:smallCaps w:val="false"/>
          <w:strike/>
          <w:color w:val="FF0000"/>
          <w:sz w:val="20"/>
        </w:rPr>
        <w:t>in</w:t>
      </w:r>
      <w:r>
        <w:rPr>
          <w:rFonts w:ascii="Times New Roman;Times;Serif" w:hAnsi="Times New Roman;Times;Serif"/>
          <w:b w:val="false"/>
          <w:i w:val="false"/>
          <w:caps w:val="false"/>
          <w:smallCaps w:val="false"/>
          <w:color w:val="0000FF"/>
          <w:sz w:val="20"/>
          <w:u w:val="single"/>
        </w:rPr>
        <w:t>on</w:t>
      </w:r>
      <w:r>
        <w:rPr>
          <w:rFonts w:ascii="Times New Roman;Times;Serif" w:hAnsi="Times New Roman;Times;Serif"/>
          <w:b w:val="false"/>
          <w:i w:val="false"/>
          <w:caps w:val="false"/>
          <w:smallCaps w:val="false"/>
          <w:sz w:val="20"/>
        </w:rPr>
        <w:t xml:space="preserve"> the part of the Agent or any Lender. If any other Default occurs, the Required Lenders (or the Agent with the consent of the Required Lenders) may terminate or suspend the obligations of the Lenders to make Loans hereunder, or declare the Obligations to be due and payable, or both, whereupon the Obligations shall become immediately due and payable, without presentment, demand, protest or notice of any kind, all of which the Loan Parties hereby expressly waive. In addition, if any Default occurs, the L/C Issuer may declare the obligation to make L/C Credit Extensions to be suspended and/or terminated and, further, require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secure the L/C Obligations with Cash Collateral, in an amount equal to the Outstanding Amount of the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this Agreement, any Loan Document nor any provision hereof or thereof may be waived, amended or modified except, in the case of this Agreement, pursuant to an agreement or agreements in writing entered into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Required Lenders </w:t>
      </w:r>
      <w:r>
        <w:rPr>
          <w:rFonts w:ascii="Times New Roman;Times;Serif" w:hAnsi="Times New Roman;Times;Serif"/>
          <w:b w:val="false"/>
          <w:i w:val="false"/>
          <w:caps w:val="false"/>
          <w:smallCaps w:val="false"/>
          <w:color w:val="0000FF"/>
          <w:sz w:val="20"/>
          <w:u w:val="single"/>
        </w:rPr>
        <w:t xml:space="preserve">or, with respect to matters affecting only the Alternative Currency Commitments, Alternative Currency Loans or L/C Obligations denominated in Alternative Currencies and not adversely affecting the rights or obligations of any Lender that is not an Alternative Currency Lender, the Required Alternative Currency Lenders, </w:t>
      </w:r>
      <w:r>
        <w:rPr>
          <w:rFonts w:ascii="Times New Roman;Times;Serif" w:hAnsi="Times New Roman;Times;Serif"/>
          <w:b w:val="false"/>
          <w:i w:val="false"/>
          <w:caps w:val="false"/>
          <w:smallCaps w:val="false"/>
          <w:sz w:val="20"/>
        </w:rPr>
        <w:t xml:space="preserve">or, in the case of any other Loan Document, pursuant to an agreement or agreements in writing entered into by the Agent and the Loan Party or Loan Parties that are parties thereto, in each case with the consent of the Required Lenders </w:t>
      </w:r>
      <w:r>
        <w:rPr>
          <w:rFonts w:ascii="Times New Roman;Times;Serif" w:hAnsi="Times New Roman;Times;Serif"/>
          <w:b w:val="false"/>
          <w:i w:val="false"/>
          <w:caps w:val="false"/>
          <w:smallCaps w:val="false"/>
          <w:color w:val="0000FF"/>
          <w:sz w:val="20"/>
          <w:u w:val="single"/>
        </w:rPr>
        <w:t>or the Required Alternative Currency Lenders, as applicable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(i) increase the Commitment of any Lender </w:t>
      </w:r>
      <w:r>
        <w:rPr>
          <w:rFonts w:ascii="Times New Roman;Times;Serif" w:hAnsi="Times New Roman;Times;Serif"/>
          <w:b w:val="false"/>
          <w:i w:val="false"/>
          <w:caps w:val="false"/>
          <w:smallCaps w:val="false"/>
          <w:color w:val="0000FF"/>
          <w:sz w:val="20"/>
          <w:u w:val="single"/>
        </w:rPr>
        <w:t xml:space="preserve">or the Alternative Currency Commitment of any Alternative Currency Lender </w:t>
      </w:r>
      <w:r>
        <w:rPr>
          <w:rFonts w:ascii="Times New Roman;Times;Serif" w:hAnsi="Times New Roman;Times;Serif"/>
          <w:b w:val="false"/>
          <w:i w:val="false"/>
          <w:caps w:val="false"/>
          <w:smallCaps w:val="false"/>
          <w:sz w:val="20"/>
        </w:rPr>
        <w:t xml:space="preserve">without the written consent of such Lender </w:t>
      </w:r>
      <w:r>
        <w:rPr>
          <w:rFonts w:ascii="Times New Roman;Times;Serif" w:hAnsi="Times New Roman;Times;Serif"/>
          <w:b w:val="false"/>
          <w:i w:val="false"/>
          <w:caps w:val="false"/>
          <w:smallCaps w:val="false"/>
          <w:color w:val="0000FF"/>
          <w:sz w:val="20"/>
          <w:u w:val="single"/>
        </w:rPr>
        <w:t xml:space="preserve">or Alternative Currency Lender, as applicable </w:t>
      </w:r>
      <w:r>
        <w:rPr>
          <w:rFonts w:ascii="Times New Roman;Times;Serif" w:hAnsi="Times New Roman;Times;Serif"/>
          <w:b w:val="false"/>
          <w:i w:val="false"/>
          <w:caps w:val="false"/>
          <w:smallCaps w:val="false"/>
          <w:sz w:val="20"/>
        </w:rPr>
        <w:t xml:space="preserve">(it being understood that a waiver of any condition precedent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the waiver of any Default or mandatory prepayment shall not constitute an extension or increase of any Commitment </w:t>
      </w:r>
      <w:r>
        <w:rPr>
          <w:rFonts w:ascii="Times New Roman;Times;Serif" w:hAnsi="Times New Roman;Times;Serif"/>
          <w:b w:val="false"/>
          <w:i w:val="false"/>
          <w:caps w:val="false"/>
          <w:smallCaps w:val="false"/>
          <w:color w:val="0000FF"/>
          <w:sz w:val="20"/>
          <w:u w:val="single"/>
        </w:rPr>
        <w:t xml:space="preserve">or Alternative Currency Commitment </w:t>
      </w:r>
      <w:r>
        <w:rPr>
          <w:rFonts w:ascii="Times New Roman;Times;Serif" w:hAnsi="Times New Roman;Times;Serif"/>
          <w:b w:val="false"/>
          <w:i w:val="false"/>
          <w:caps w:val="false"/>
          <w:smallCaps w:val="false"/>
          <w:sz w:val="20"/>
        </w:rPr>
        <w:t xml:space="preserve">of any Lender), (ii) reduce the principal amount of any Loan or L/C Borrowing or reduce the rate of interest thereon, or reduce any fees payable hereunder, without the written consent of each Lender directly and adversely affected thereby, </w:t>
      </w:r>
      <w:r>
        <w:rPr>
          <w:rFonts w:ascii="Times New Roman;Times;Serif" w:hAnsi="Times New Roman;Times;Serif"/>
          <w:b w:val="false"/>
          <w:i w:val="false"/>
          <w:caps w:val="false"/>
          <w:smallCaps w:val="false"/>
          <w:color w:val="0000FF"/>
          <w:sz w:val="20"/>
          <w:u w:val="single"/>
        </w:rPr>
        <w:t xml:space="preserve">including each Alternative Currency Lender directly and adversely affected thereby with respect to any Alternative Currency Loan, Alternative Currency Commitment or L/C Obligation denominated in an Alternative Currency, </w:t>
      </w:r>
      <w:r>
        <w:rPr>
          <w:rFonts w:ascii="Times New Roman;Times;Serif" w:hAnsi="Times New Roman;Times;Serif"/>
          <w:b w:val="false"/>
          <w:i w:val="false"/>
          <w:caps w:val="false"/>
          <w:smallCaps w:val="false"/>
          <w:sz w:val="20"/>
        </w:rPr>
        <w:t xml:space="preserve">(iii) postpone the maturity of any Loan, or the reimbursement date with respect to any L/C Borrowing, or any date for the payment of any interest or fees payable hereunder, or reduce the amount of, waive or excuse any such payment, or postpone the scheduled date of expiration of any Commitment </w:t>
      </w:r>
      <w:r>
        <w:rPr>
          <w:rFonts w:ascii="Times New Roman;Times;Serif" w:hAnsi="Times New Roman;Times;Serif"/>
          <w:b w:val="false"/>
          <w:i w:val="false"/>
          <w:caps w:val="false"/>
          <w:smallCaps w:val="false"/>
          <w:color w:val="0000FF"/>
          <w:sz w:val="20"/>
          <w:u w:val="single"/>
        </w:rPr>
        <w:t>or Alternative Currency Commitment</w:t>
      </w:r>
      <w:r>
        <w:rPr>
          <w:rFonts w:ascii="Times New Roman;Times;Serif" w:hAnsi="Times New Roman;Times;Serif"/>
          <w:b w:val="false"/>
          <w:i w:val="false"/>
          <w:caps w:val="false"/>
          <w:smallCaps w:val="false"/>
          <w:sz w:val="20"/>
        </w:rPr>
        <w:t xml:space="preserve">, without the written consent of each Lender directly and adversely affected thereby, </w:t>
      </w:r>
      <w:r>
        <w:rPr>
          <w:rFonts w:ascii="Times New Roman;Times;Serif" w:hAnsi="Times New Roman;Times;Serif"/>
          <w:b w:val="false"/>
          <w:i w:val="false"/>
          <w:caps w:val="false"/>
          <w:smallCaps w:val="false"/>
          <w:color w:val="0000FF"/>
          <w:sz w:val="20"/>
          <w:u w:val="single"/>
        </w:rPr>
        <w:t xml:space="preserve">including each Alternative Currency Lender directly and adversely affected thereby with respect to any Alternative Currency Loan, Alternative Currency Commitment or L/C Obligation denominated in an Alternative Currency, </w:t>
      </w:r>
      <w:r>
        <w:rPr>
          <w:rFonts w:ascii="Times New Roman;Times;Serif" w:hAnsi="Times New Roman;Times;Serif"/>
          <w:b w:val="false"/>
          <w:i w:val="false"/>
          <w:caps w:val="false"/>
          <w:smallCaps w:val="false"/>
          <w:sz w:val="20"/>
        </w:rPr>
        <w:t xml:space="preserve">(iv) change any of the provisions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without the written consent of each Lender </w:t>
      </w:r>
      <w:r>
        <w:rPr>
          <w:rFonts w:ascii="Times New Roman;Times;Serif" w:hAnsi="Times New Roman;Times;Serif"/>
          <w:b w:val="false"/>
          <w:i w:val="false"/>
          <w:caps w:val="false"/>
          <w:smallCaps w:val="false"/>
          <w:color w:val="0000FF"/>
          <w:sz w:val="20"/>
          <w:u w:val="single"/>
        </w:rPr>
        <w:t>or, with respect to any provision applicable only to Alternative Currency Commitments, Alternative Currency Loans or L/C Obligations denominated in Alternative Currencies, each Alternative Currency Lender</w:t>
      </w:r>
      <w:r>
        <w:rPr>
          <w:rFonts w:ascii="Times New Roman;Times;Serif" w:hAnsi="Times New Roman;Times;Serif"/>
          <w:b w:val="false"/>
          <w:i w:val="false"/>
          <w:caps w:val="false"/>
          <w:smallCaps w:val="false"/>
          <w:sz w:val="20"/>
        </w:rPr>
        <w:t xml:space="preserve">, (v) change the percentage set forth in the definition of “Required Lenders” or </w:t>
      </w:r>
      <w:r>
        <w:rPr>
          <w:rFonts w:ascii="Times New Roman;Times;Serif" w:hAnsi="Times New Roman;Times;Serif"/>
          <w:b w:val="false"/>
          <w:i w:val="false"/>
          <w:caps w:val="false"/>
          <w:smallCaps w:val="false"/>
          <w:color w:val="0000FF"/>
          <w:sz w:val="20"/>
          <w:u w:val="single"/>
        </w:rPr>
        <w:t xml:space="preserve">“Required Alternative Currency Lenders” or </w:t>
      </w:r>
      <w:r>
        <w:rPr>
          <w:rFonts w:ascii="Times New Roman;Times;Serif" w:hAnsi="Times New Roman;Times;Serif"/>
          <w:b w:val="false"/>
          <w:i w:val="false"/>
          <w:caps w:val="false"/>
          <w:smallCaps w:val="false"/>
          <w:sz w:val="20"/>
        </w:rPr>
        <w:t xml:space="preserve">any other provision of any Loan Document specifying the number or percentage of </w:t>
      </w:r>
      <w:r>
        <w:rPr>
          <w:rFonts w:ascii="Times New Roman;Times;Serif" w:hAnsi="Times New Roman;Times;Serif"/>
          <w:b w:val="false"/>
          <w:i w:val="false"/>
          <w:caps w:val="false"/>
          <w:smallCaps w:val="false"/>
          <w:color w:val="0000FF"/>
          <w:sz w:val="20"/>
          <w:u w:val="single"/>
        </w:rPr>
        <w:t xml:space="preserve">Lenders or Alternative Currency </w:t>
      </w:r>
      <w:r>
        <w:rPr>
          <w:rFonts w:ascii="Times New Roman;Times;Serif" w:hAnsi="Times New Roman;Times;Serif"/>
          <w:b w:val="false"/>
          <w:i w:val="false"/>
          <w:caps w:val="false"/>
          <w:smallCaps w:val="false"/>
          <w:sz w:val="20"/>
        </w:rPr>
        <w:t>Lenders required to waive, amend or modify any rights thereunder or make any determination or grant any consent thereunder, without the written consent of each Lender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or each Alternative Currency Lender, as applicable,</w:t>
      </w:r>
      <w:r>
        <w:rPr>
          <w:rFonts w:ascii="Times New Roman;Times;Serif" w:hAnsi="Times New Roman;Times;Serif"/>
          <w:b w:val="false"/>
          <w:i w:val="false"/>
          <w:caps w:val="false"/>
          <w:smallCaps w:val="false"/>
          <w:sz w:val="20"/>
        </w:rPr>
        <w:t xml:space="preserve"> (vi) release all or substantially all the value of the Guarantees under the Loan Guaranty (except as expressly provided in this Agreement or any other Loan Document) without the written consent of each Lender, (vii) subordinate the Loans to any other Indebtedness without the consent of each Lender, (viii) [Reserved] or (ix) amend, modify or waive the pro rata sharing of payments or the pro rata reduction of Commitments by and among the Lenders </w:t>
      </w:r>
      <w:r>
        <w:rPr>
          <w:rFonts w:ascii="Times New Roman;Times;Serif" w:hAnsi="Times New Roman;Times;Serif"/>
          <w:b w:val="false"/>
          <w:i w:val="false"/>
          <w:caps w:val="false"/>
          <w:smallCaps w:val="false"/>
          <w:color w:val="0000FF"/>
          <w:sz w:val="20"/>
          <w:u w:val="single"/>
        </w:rPr>
        <w:t xml:space="preserve">or the pro rata sharing of payments or pro rata reduction of Alternative Currency Commitments by and among the Alternative Currency Lenders </w:t>
      </w:r>
      <w:r>
        <w:rPr>
          <w:rFonts w:ascii="Times New Roman;Times;Serif" w:hAnsi="Times New Roman;Times;Serif"/>
          <w:b w:val="false"/>
          <w:i w:val="false"/>
          <w:caps w:val="false"/>
          <w:smallCaps w:val="false"/>
          <w:sz w:val="20"/>
        </w:rPr>
        <w:t xml:space="preserve">without the written consent of each Lender </w:t>
      </w:r>
      <w:r>
        <w:rPr>
          <w:rFonts w:ascii="Times New Roman;Times;Serif" w:hAnsi="Times New Roman;Times;Serif"/>
          <w:b w:val="false"/>
          <w:i w:val="false"/>
          <w:caps w:val="false"/>
          <w:smallCaps w:val="false"/>
          <w:color w:val="0000FF"/>
          <w:sz w:val="20"/>
          <w:u w:val="single"/>
        </w:rPr>
        <w:t xml:space="preserve">or Alternative Currency Lender </w:t>
      </w:r>
      <w:r>
        <w:rPr>
          <w:rFonts w:ascii="Times New Roman;Times;Serif" w:hAnsi="Times New Roman;Times;Serif"/>
          <w:b w:val="false"/>
          <w:i w:val="false"/>
          <w:caps w:val="false"/>
          <w:smallCaps w:val="false"/>
          <w:sz w:val="20"/>
        </w:rPr>
        <w:t xml:space="preserve">directly and adversely affected thereby. So long as the foregoing described rights are not affected, this Agreement may be amended (or amended and restated) with the written consent of the Required Lenders, </w:t>
      </w:r>
      <w:r>
        <w:rPr>
          <w:rFonts w:ascii="Times New Roman;Times;Serif" w:hAnsi="Times New Roman;Times;Serif"/>
          <w:b w:val="false"/>
          <w:i w:val="false"/>
          <w:caps w:val="false"/>
          <w:smallCaps w:val="false"/>
          <w:color w:val="0000FF"/>
          <w:sz w:val="20"/>
          <w:u w:val="single"/>
        </w:rPr>
        <w:t xml:space="preserve">or the Required Alternative Currency Lenders with respect to matters affecting only the Alternative Currency Commitments, Alternative Currency Loans or L/C Obligations denominated in Alternative Currencies and not adversely affecting the rights or obligations of any Lender that is not an Alternative Currency Lender, </w:t>
      </w:r>
      <w:r>
        <w:rPr>
          <w:rFonts w:ascii="Times New Roman;Times;Serif" w:hAnsi="Times New Roman;Times;Serif"/>
          <w:b w:val="false"/>
          <w:i w:val="false"/>
          <w:caps w:val="false"/>
          <w:smallCaps w:val="false"/>
          <w:sz w:val="20"/>
        </w:rPr>
        <w:t xml:space="preserve">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 to add one or more additional credit facilities </w:t>
      </w:r>
      <w:r>
        <w:rPr>
          <w:rFonts w:ascii="Times New Roman;Times;Serif" w:hAnsi="Times New Roman;Times;Serif"/>
          <w:b w:val="false"/>
          <w:i w:val="false"/>
          <w:caps w:val="false"/>
          <w:smallCaps w:val="false"/>
          <w:color w:val="0000FF"/>
          <w:sz w:val="20"/>
          <w:u w:val="single"/>
        </w:rPr>
        <w:t>or subfacilities</w:t>
      </w:r>
      <w:r>
        <w:rPr>
          <w:rFonts w:ascii="Times New Roman;Times;Serif" w:hAnsi="Times New Roman;Times;Serif"/>
          <w:b w:val="false"/>
          <w:i w:val="false"/>
          <w:caps w:val="false"/>
          <w:smallCaps w:val="false"/>
          <w:sz w:val="20"/>
        </w:rPr>
        <w:t xml:space="preserve">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w:t>
      </w:r>
      <w:r>
        <w:rPr>
          <w:rFonts w:ascii="Times New Roman;Times;Serif" w:hAnsi="Times New Roman;Times;Serif"/>
          <w:b w:val="false"/>
          <w:i w:val="false"/>
          <w:caps w:val="false"/>
          <w:smallCaps w:val="false"/>
          <w:color w:val="0000FF"/>
          <w:sz w:val="20"/>
          <w:u w:val="single"/>
        </w:rPr>
        <w:t xml:space="preserve">or subfacilities </w:t>
      </w:r>
      <w:r>
        <w:rPr>
          <w:rFonts w:ascii="Times New Roman;Times;Serif" w:hAnsi="Times New Roman;Times;Serif"/>
          <w:b w:val="false"/>
          <w:i w:val="false"/>
          <w:caps w:val="false"/>
          <w:smallCaps w:val="false"/>
          <w:sz w:val="20"/>
        </w:rPr>
        <w:t xml:space="preserve">in any determination of the Required Lenders </w:t>
      </w:r>
      <w:r>
        <w:rPr>
          <w:rFonts w:ascii="Times New Roman;Times;Serif" w:hAnsi="Times New Roman;Times;Serif"/>
          <w:b w:val="false"/>
          <w:i w:val="false"/>
          <w:caps w:val="false"/>
          <w:smallCaps w:val="false"/>
          <w:color w:val="0000FF"/>
          <w:sz w:val="20"/>
          <w:u w:val="single"/>
        </w:rPr>
        <w:t>or Required Alternative Currency Lenders, as applicable,</w:t>
      </w:r>
      <w:r>
        <w:rPr>
          <w:rFonts w:ascii="Times New Roman;Times;Serif" w:hAnsi="Times New Roman;Times;Serif"/>
          <w:b w:val="false"/>
          <w:i w:val="false"/>
          <w:caps w:val="false"/>
          <w:smallCaps w:val="false"/>
          <w:sz w:val="20"/>
        </w:rPr>
        <w:t xml:space="preserve"> on substantially the same basis as the Lenders prior to such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the foregoing, no amendment, waiver or consent shall, unless in writing and signed by the Swingline Lender in addition to the Lenders required above, affect the rights or duties of the Swingline Lender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amendment of any provision of this Agreement relating to the Agent shall be effective without the written consent of the Agent. No amendment of any provision of this Agreement relating to the L/C Issuer shall be effective without the written consent of the L/C Issuer. The Agent may waive payment of the fee required under </w:t>
      </w:r>
      <w:r>
        <w:rPr>
          <w:rFonts w:ascii="Times New Roman;Times;Serif" w:hAnsi="Times New Roman;Times;Serif"/>
          <w:b w:val="false"/>
          <w:i w:val="false"/>
          <w:caps w:val="false"/>
          <w:smallCaps w:val="false"/>
          <w:sz w:val="20"/>
          <w:u w:val="single"/>
        </w:rPr>
        <w:t>Section 12.3(b)</w:t>
      </w:r>
      <w:r>
        <w:rPr>
          <w:rFonts w:ascii="Times New Roman;Times;Serif" w:hAnsi="Times New Roman;Times;Serif"/>
          <w:b w:val="false"/>
          <w:i w:val="false"/>
          <w:caps w:val="false"/>
          <w:smallCaps w:val="false"/>
          <w:sz w:val="20"/>
        </w:rPr>
        <w:t> without obtaining the consent of any other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of the foregoing to the contrary, the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other Loan Parties shall not be required for any amendment, modification or waiver of the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which do not, in any way, adversely affect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fact that the consent of all the Lenders is required in certain circumstances as set forth above, (a) each Lender is entitled to vote as such Lender sees fit on any bankruptcy reorganization plan that affects the Loans, and each Lender acknowledges that the provisions of Section 1126(c) of the Bankruptcy Code in Title 11 of the United States Code supersedes the unanimous consent provisions set forth herein, (b) the Required Lenders </w:t>
      </w:r>
      <w:r>
        <w:rPr>
          <w:rFonts w:ascii="Times New Roman;Times;Serif" w:hAnsi="Times New Roman;Times;Serif"/>
          <w:b w:val="false"/>
          <w:i w:val="false"/>
          <w:caps w:val="false"/>
          <w:smallCaps w:val="false"/>
          <w:color w:val="0000FF"/>
          <w:sz w:val="20"/>
          <w:u w:val="single"/>
        </w:rPr>
        <w:t xml:space="preserve">or, with respect to matters affecting only the Alternative Currency Commitments, Alternative Currency Loans or L/C Obligations denominated in Alternative Currencies, the Required Alternative Currency Lenders </w:t>
      </w:r>
      <w:r>
        <w:rPr>
          <w:rFonts w:ascii="Times New Roman;Times;Serif" w:hAnsi="Times New Roman;Times;Serif"/>
          <w:b w:val="false"/>
          <w:i w:val="false"/>
          <w:caps w:val="false"/>
          <w:smallCaps w:val="false"/>
          <w:sz w:val="20"/>
        </w:rPr>
        <w:t xml:space="preserve">may consent to allow a Loan Party to use cash collateral in the context of a bankruptcy or insolvency proceeding and (c) no Defaulting Lender shall have any right to approve or disapprove any amendment, waiver or consent hereunder, except (i) that the Commitment </w:t>
      </w:r>
      <w:r>
        <w:rPr>
          <w:rFonts w:ascii="Times New Roman;Times;Serif" w:hAnsi="Times New Roman;Times;Serif"/>
          <w:b w:val="false"/>
          <w:i w:val="false"/>
          <w:caps w:val="false"/>
          <w:smallCaps w:val="false"/>
          <w:color w:val="0000FF"/>
          <w:sz w:val="20"/>
          <w:u w:val="single"/>
        </w:rPr>
        <w:t xml:space="preserve">or Alternative Currency Commitment </w:t>
      </w:r>
      <w:r>
        <w:rPr>
          <w:rFonts w:ascii="Times New Roman;Times;Serif" w:hAnsi="Times New Roman;Times;Serif"/>
          <w:b w:val="false"/>
          <w:i w:val="false"/>
          <w:caps w:val="false"/>
          <w:smallCaps w:val="false"/>
          <w:sz w:val="20"/>
        </w:rPr>
        <w:t xml:space="preserve">of such Lender may not be increased or extended without the consent of such Lender and (ii) to the extent such amendment, waiver or consent impacts such Defaulting Lender more than the other Lenders </w:t>
      </w:r>
      <w:r>
        <w:rPr>
          <w:rFonts w:ascii="Times New Roman;Times;Serif" w:hAnsi="Times New Roman;Times;Serif"/>
          <w:b w:val="false"/>
          <w:i w:val="false"/>
          <w:caps w:val="false"/>
          <w:smallCaps w:val="false"/>
          <w:color w:val="0000FF"/>
          <w:sz w:val="20"/>
          <w:u w:val="single"/>
        </w:rPr>
        <w:t>or, with respect to Alternative Currency Commitments, Alternative Currency Loans or L/C Obligations denominated in Alternative Currencies, more than the other Alternative Currency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of the foregoing to the contrary, (x)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without the consent of any Lender, amend, modify or supplement this Agreement or any other Loan Document to cure any ambiguity, omission, defect or inconsistency, so long as such amendment, modification or supplement does not adversely affect the rights of any Lender (in the reasonable good faith determination of the Agent)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(y) the Agent may, without the consent of any Lender, enter into amendments or modifications to this Agreement or any of the other Loan Documents or to enter into additional Loan Documents as the Agent reasonably deems appropriate in order to implement any Benchmark Replacement or any Benchmark Replacement Conforming Changes or otherwise effectuate the terms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in accordance with the terms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c), (z) the Agent may enter into Incremental Term Loan Amendments in accordance with Section 2.24(II) and (aa) the Agent and the Borrower Representative may, without the consent of any other Lender or any other Loan Party, amend this Agreement and the other Loan Documents to establish an EEA Sub-Tranche in accordance with Section 1.9(e).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Preservation of Rights</w:t>
      </w:r>
      <w:r>
        <w:rPr>
          <w:rFonts w:ascii="Times New Roman;Times;Serif" w:hAnsi="Times New Roman;Times;Serif"/>
          <w:b w:val="false"/>
          <w:i w:val="false"/>
          <w:caps w:val="false"/>
          <w:smallCaps w:val="false"/>
          <w:sz w:val="20"/>
        </w:rPr>
        <w:t xml:space="preserve">. No delay or omission of the Lenders or the Agent or the L/C Issuer to exercise any right under the Loan Documents shall impair such right or be construed to be a waiver of any Default or an acquiescence therein, and the making of a Loan notwithstanding the existence of a Default or the inability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satisfy the conditions precedent to such Loan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and then only to the extent in such writing specifically set forth. All remedies contained in the Loan Documents or by law afforded shall be cumulative and all shall be available to the Agent and the Lenders until the Obligations (including the L/C Obligations)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Survival of Representations</w:t>
      </w:r>
      <w:r>
        <w:rPr>
          <w:rFonts w:ascii="Times New Roman;Times;Serif" w:hAnsi="Times New Roman;Times;Serif"/>
          <w:b w:val="false"/>
          <w:i w:val="false"/>
          <w:caps w:val="false"/>
          <w:smallCaps w:val="false"/>
          <w:sz w:val="20"/>
        </w:rPr>
        <w:t>. All representations and warranties of the Loan Parties contained in this Agreement shall survive the making of the Loans herein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Governmental Regulation</w:t>
      </w:r>
      <w:r>
        <w:rPr>
          <w:rFonts w:ascii="Times New Roman;Times;Serif" w:hAnsi="Times New Roman;Times;Serif"/>
          <w:b w:val="false"/>
          <w:i w:val="false"/>
          <w:caps w:val="false"/>
          <w:smallCaps w:val="false"/>
          <w:sz w:val="20"/>
        </w:rPr>
        <w:t xml:space="preserve">. Anything contained in this Agreement to the contrary notwithstanding, no Lender shall be obligated to extend credit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violation of any limitation or prohibition provided by any applicable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in the Loan Documents are for convenience of reference only, and shall not govern the interpretation of any of the provisions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Loan Documents embody the entire agreement and understanding among the Loan Parties, the Agent and the Lenders and supersede all prior agreements and understandings among the Loan Parties, the Agent and the Lenders relating to the subject matter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Several Obligations; Benefits of this Agreement</w:t>
      </w:r>
      <w:r>
        <w:rPr>
          <w:rFonts w:ascii="Times New Roman;Times;Serif" w:hAnsi="Times New Roman;Times;Serif"/>
          <w:b w:val="false"/>
          <w:i w:val="false"/>
          <w:caps w:val="false"/>
          <w:smallCaps w:val="false"/>
          <w:sz w:val="20"/>
        </w:rPr>
        <w:t>. The respective obligations of the Lenders hereunder are several and not joint and no Lender shall be the partner or agent of any other (except to the extent to which the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Expenses;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(a)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reimburse the Agent for any out-of-pocket expenses (including reasonable attorneys’ fees and expenses of one outside counsel to the Agent) paid or incurred by the Agent in connection with the preparation, negotiation, execution, delivery, syndication, review, amendment, modification, and administration of the Loan Documents.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also </w:t>
      </w:r>
      <w:r>
        <w:rPr>
          <w:rFonts w:ascii="Times New Roman;Times;Serif" w:hAnsi="Times New Roman;Times;Serif"/>
          <w:b w:val="false"/>
          <w:i w:val="false"/>
          <w:caps w:val="false"/>
          <w:smallCaps w:val="false"/>
          <w:strike/>
          <w:color w:val="FF0000"/>
          <w:sz w:val="20"/>
        </w:rPr>
        <w:t>agrees</w:t>
      </w:r>
      <w:r>
        <w:rPr>
          <w:rFonts w:ascii="Times New Roman;Times;Serif" w:hAnsi="Times New Roman;Times;Serif"/>
          <w:b w:val="false"/>
          <w:i w:val="false"/>
          <w:caps w:val="false"/>
          <w:smallCaps w:val="false"/>
          <w:color w:val="0000FF"/>
          <w:sz w:val="20"/>
          <w:u w:val="single"/>
        </w:rPr>
        <w:t>agree</w:t>
      </w:r>
      <w:r>
        <w:rPr>
          <w:rFonts w:ascii="Times New Roman;Times;Serif" w:hAnsi="Times New Roman;Times;Serif"/>
          <w:b w:val="false"/>
          <w:i w:val="false"/>
          <w:caps w:val="false"/>
          <w:smallCaps w:val="false"/>
          <w:sz w:val="20"/>
        </w:rPr>
        <w:t xml:space="preserve"> to reimburse the Agent and the Lenders for any out-of-pocket expenses (including reasonable attorneys’ fees and expenses) paid or incurred by the Agent or any Lender in connection with the collection and enforcement of the Loan Documents after a Default (including, without limitation, reasonable fees of (x) a single external legal counsel (and appropriate local counsel) for the Agent, (y) a single external legal counsel (and appropriate local counsel) for the Lenders and (z) to the extent a Lender determines, after consultation with legal counsel, that an actual or potential conflict may require use of separate counsel by such Lender, separate legal counsel for such Lender, but excluding in each case salaries of the Agent’s or such Lender’s regularly employed personnel and overhead).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acknowledges that from time to time Agent may prepare and may distribute to the Lenders (but shall have no obligation or duty to prepare or to distribute to the Lenders) certain audit reports (the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xml:space="preserve">”) pertaining to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assets for internal use by the Agent from information furnished to it by or on behalf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after the Agent has exercised its rights of inspection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hereby further agrees to indemnify the Agent and each Lender and each Related Party of any of the foregoing Persons (collectively,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all losses, claims, damages, penalties, judgments, liabilities and expenses (including, without limitation, all expenses of litigation or preparation therefor whether or not the Agent or any Lender or Related Party is a party thereto) which any of them may pay or incur arising out of or relating to this Agreement, the other Loan Documents, the transactions contemplated hereby or the direct or indirect application or proposed application of the proceeds of any Loan hereunder (but limited, in the case of legal fees and expenses, to one counsel to the Indemnitees, taken as a whole and, solely in the case of a conflict of interest, one additional counsel to the affected Indemnitees, taken as a whole and if reasonably necessary, of one local counsel in any relevant jurisdiction to all such Indemnitees, taken as a whole and, solely in the case of a conflict of interest, one additional local counsel to all affected Indemnitees, taken as a whole) except to the extent that they are determined in a final non-appealable judgment by a court of competent jurisdiction to have resulted from the gross negligence or willful misconduct of the party seeking indemnification (IT BEING THE INTENT OF THE PARTIES THAT EACH INDEMNITEE BE INDEMNIFIED AGAINST THE CONSEQUENCES OF ITS OWN NEGLIGENCE). This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 The obligations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under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trike/>
          <w:color w:val="FF0000"/>
          <w:sz w:val="20"/>
          <w:u w:val="single"/>
        </w:rPr>
        <w:t>Numbers of Documents</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trike/>
          <w:color w:val="FF0000"/>
          <w:sz w:val="20"/>
        </w:rPr>
        <w:t>. All statements, notices, closing documents, and requests hereunder shall be furnished to the Agent with sufficient counterparts so that the Agent may furnish one to each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Nonliability of Lenders</w:t>
      </w:r>
      <w:r>
        <w:rPr>
          <w:rFonts w:ascii="Times New Roman;Times;Serif" w:hAnsi="Times New Roman;Times;Serif"/>
          <w:b w:val="false"/>
          <w:i w:val="false"/>
          <w:caps w:val="false"/>
          <w:smallCaps w:val="false"/>
          <w:sz w:val="20"/>
        </w:rPr>
        <w:t xml:space="preserve">. The relationship between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on the one hand and the Lenders and the Agent on the other hand shall be solely that of borrower and lender. Neither the Agent nor any Lender shall have any fiduciary responsibilities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Neither the Agent nor any Lender undertakes any responsibility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review or inform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of any matter in connection with any phase of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business or operations.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agrees that neither the Agent nor any Lender shall have liability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(whether sounding in tort, contract or otherwise) for losses suffered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No party to this Agreement shall have any liability with respect to, and each such party hereby waives, releases and agrees not to sue for, any special, indirect, consequential or punitive damages suffered by any other party hereto in connection with, arising out of, or in any way related to the Loan Documents or the transactions contemplated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sentence shall limit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indemnification obligations to the extent such special, indirect, consequential or punitive damages are included in any third party claim in connection with which such Indemnitee is entitled to indemnification hereunder.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Lender agrees to hold any confidential information which it may receive from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pursuant to this Agreement in confidence, except for disclosure (a) to its Affiliates and to other Lenders and their respective Affiliates</w:t>
      </w:r>
      <w:r>
        <w:rPr>
          <w:rFonts w:ascii="Times New Roman;Times;Serif" w:hAnsi="Times New Roman;Times;Serif"/>
          <w:b w:val="false"/>
          <w:i w:val="false"/>
          <w:caps w:val="false"/>
          <w:smallCaps w:val="false"/>
          <w:color w:val="0000FF"/>
          <w:sz w:val="20"/>
          <w:u w:val="single"/>
        </w:rPr>
        <w:t>, including all directors, officers, employees, agents and advisors of such Affiliates</w:t>
      </w:r>
      <w:r>
        <w:rPr>
          <w:rFonts w:ascii="Times New Roman;Times;Serif" w:hAnsi="Times New Roman;Times;Serif"/>
          <w:b w:val="false"/>
          <w:i w:val="false"/>
          <w:caps w:val="false"/>
          <w:smallCaps w:val="false"/>
          <w:sz w:val="20"/>
        </w:rPr>
        <w:t xml:space="preserve"> (it being understood that the Persons to whom such disclosure is made will be informed of the confidential nature of such Information and instructed to keep such Information confidential in accordance with customary practices), (b) to legal counsel, accountants, and other professional advisors to such Lender (it being understood that the Persons to whom such disclosure is made will be informed of the confidential nature of such Information and instructed to keep such Information confidential in accordance with customary practices), (c) subject to an agreement containing provisions substantially the same (or at least as restrictive) as those of this Section, to a Transferee </w:t>
      </w:r>
      <w:r>
        <w:rPr>
          <w:rFonts w:ascii="Times New Roman;Times;Serif" w:hAnsi="Times New Roman;Times;Serif"/>
          <w:b w:val="false"/>
          <w:i w:val="false"/>
          <w:caps w:val="false"/>
          <w:smallCaps w:val="false"/>
          <w:color w:val="0000FF"/>
          <w:sz w:val="20"/>
          <w:u w:val="single"/>
        </w:rPr>
        <w:t>or prospective Transferee</w:t>
      </w:r>
      <w:r>
        <w:rPr>
          <w:rFonts w:ascii="Times New Roman;Times;Serif" w:hAnsi="Times New Roman;Times;Serif"/>
          <w:b w:val="false"/>
          <w:i w:val="false"/>
          <w:caps w:val="false"/>
          <w:smallCaps w:val="false"/>
          <w:sz w:val="20"/>
        </w:rPr>
        <w:t xml:space="preserve">, (d) to regulatory officials, (e) to any Person as requested pursuant to or as required by law, regulation, or legal process, (f) in connection with the exercise of any remedies hereunder or under any Loan Document or any other action or proceeding relating to this Agreement or any other Loan Document or the enforcement of rights hereunder or thereunder, (g) to (i) any actual or prospective party (or its partners, directors, officers, employees, managers, administrators, trustees, agents, advisors or other representatives) to any swap or derivative or similar transaction under which payments are to be made by reference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its obligations, this Agreement or payments hereunder, (ii) an investor or prospective investor in securities issued by an Approved Fund that also agrees that Information shall be used solely for the purpose of evaluating an investment in such securities issued by the Approved Fund, (iii) a trustee, collateral manager, servicer, backup servicer, noteholder or secured party in connection with the administration, servicing and reporting on the assets serving as collateral for securities issued by an Approved Fund, or (iv) a nationally recognized rating agency that requires access to information regarding the Loan Parties, the Loans and Loan Documents in connection with ratings issued in respect of securities issued by an Approved Fund (in each case, it being understood that the Persons to whom such disclosure is made will be informed of the confidential nature of such information and instructed to keep such information confidential), (h) permitted by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xml:space="preserve">; (i) to any other party hereto; and (j) to the extent such Information (x) becomes publicly available other than as a result of a breach of this Section or (y) becomes available to the Agent, any Lender, or any of their respective Affiliates on a nonconfidential basis from a source other than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unless specifically prohibited by applicable law or court order, the Agent, the L/C Issuer and each Lender shall make reasonable efforts to notify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of any request by any regulatory authority, governmental agency or representative thereof under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above (other than any such request in connection with any examination of the financial condition or other routine examination of such Lender by such regulatory authority or governmental agency) for disclosure of any such non-public information prior to disclosure of such information. </w:t>
      </w:r>
      <w:r>
        <w:rPr>
          <w:rFonts w:ascii="Times New Roman;Times;Serif" w:hAnsi="Times New Roman;Times;Serif"/>
          <w:b w:val="false"/>
          <w:i w:val="false"/>
          <w:caps w:val="false"/>
          <w:smallCaps w:val="false"/>
          <w:color w:val="0000FF"/>
          <w:sz w:val="20"/>
          <w:u w:val="single"/>
        </w:rPr>
        <w:t>Notwithstanding anything herein to the contrary, for the avoidance of doubt, nothing herein prohibits any individual from communicating or disclosing information regarding suspected violations of Laws to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Each Lender hereby represents that it is not relying on or looking to any margin stock (as defined in Regulation U of the Board of Governors of the Federal Reserve System) for the repayment of the Loans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w:t>
      </w:r>
      <w:r>
        <w:rPr>
          <w:rFonts w:ascii="Times New Roman;Times;Serif" w:hAnsi="Times New Roman;Times;Serif"/>
          <w:b w:val="false"/>
          <w:i w:val="false"/>
          <w:caps w:val="false"/>
          <w:smallCaps w:val="false"/>
          <w:sz w:val="20"/>
          <w:u w:val="single"/>
        </w:rPr>
        <w:t>Acknowledgment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effects of any Bail-in Action on any such liability, including, if applicable: (A) a reduction in full or in part or cancellation of any such liability; (B)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(C)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w:t>
      </w:r>
      <w:r>
        <w:rPr>
          <w:rFonts w:ascii="Times New Roman;Times;Serif" w:hAnsi="Times New Roman;Times;Serif"/>
          <w:b w:val="false"/>
          <w:i w:val="false"/>
          <w:caps w:val="false"/>
          <w:smallCaps w:val="false"/>
          <w:sz w:val="20"/>
          <w:u w:val="single"/>
        </w:rPr>
        <w:t>Amendment and Restatement</w:t>
      </w:r>
      <w:r>
        <w:rPr>
          <w:rFonts w:ascii="Times New Roman;Times;Serif" w:hAnsi="Times New Roman;Times;Serif"/>
          <w:b w:val="false"/>
          <w:i w:val="false"/>
          <w:caps w:val="false"/>
          <w:smallCaps w:val="false"/>
          <w:sz w:val="20"/>
        </w:rPr>
        <w:t xml:space="preserve">. This Agreement continues in effect the Existing Credit Agreement, and the Existing Credit Agreement shall be amended and restated in its entirety by the terms and provisions of this Agreement, which shall supersede all terms and provisions of the Existing Credit Agreement effective from and after the Closing Date. This Agreement is not intended to, and shall not, constitute a novation of any indebtedness or other obligations owing by the Loan Parties under the Existing Credit Agreement or a waiver or release of any indebtedness or other obligations owing, or any “Default” or “Event of Default” (each as defined in the Existing Credit Agreement) existing, under the Existing Credit Agreement based on any facts or events occurring or existing at or prior to the execution and delivery of this Agreement. On the Closing Date, the credit facilities described in the Existing Credit Agreement shall be amended, supplemented, modified and restated in their entirety by the credit facilities described herein, and all “Secured Obligations” (as defined in the Existing Credit Agreement)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that are not being paid on such date and remain outstanding as of such date under the Existing Credit Agreement, shall be deemed to be Loan Party Obligations under the corresponding facilities described herein, without further action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becomes subject to a proceeding under a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w:t>
      </w:r>
      <w:r>
        <w:rPr>
          <w:rFonts w:ascii="Times New Roman;Times;Serif" w:hAnsi="Times New Roman;Times;Serif"/>
          <w:b w:val="false"/>
          <w:i w:val="false"/>
          <w:caps w:val="false"/>
          <w:smallCaps w:val="false"/>
          <w:strike/>
          <w:color w:val="FF0000"/>
          <w:sz w:val="20"/>
        </w:rPr>
        <w:t>U.S.</w:t>
      </w:r>
      <w:r>
        <w:rPr>
          <w:rFonts w:ascii="Times New Roman;Times;Serif" w:hAnsi="Times New Roman;Times;Serif"/>
          <w:b w:val="false"/>
          <w:i w:val="false"/>
          <w:caps w:val="false"/>
          <w:smallCaps w:val="false"/>
          <w:color w:val="0000FF"/>
          <w:sz w:val="20"/>
          <w:u w:val="single"/>
        </w:rPr>
        <w:t>US</w:t>
      </w:r>
      <w:r>
        <w:rPr>
          <w:rFonts w:ascii="Times New Roman;Times;Serif" w:hAnsi="Times New Roman;Times;Serif"/>
          <w:b w:val="false"/>
          <w:i w:val="false"/>
          <w:caps w:val="false"/>
          <w:smallCaps w:val="false"/>
          <w:sz w:val="20"/>
        </w:rPr>
        <w:t xml:space="preserve">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9.15          Borrower Representative. Each Borrower hereby irrevocably appoints the US Borrower as the Borrower Representative, and the Borrower Representative is hereby authorized to act on behalf of each Borrower for purposes of delivering Borrowing Notices, Conversion/Continuation Notices, notices of prepayment, Letter of Credit Applications, notices, certificates and other communications hereunder and under the other Loan Documents. The Agent, the L/C Issuer and the Lenders shall be entitled to rely, and shall be fully protected in relying, on any notice or other communication delivered by the Borrower Representative on behalf of any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Appointment and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Lenders and the L/C Issuer hereby irrevocably appoints Wells Fargo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xml:space="preserve"> are solely for the benefit of the Agent, the Lenders and the L/C Issuer, and neither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nor any other Loan Party shall have rights as a third party beneficiary of any of such provisions other than </w:t>
      </w:r>
      <w:r>
        <w:rPr>
          <w:rFonts w:ascii="Times New Roman;Times;Serif" w:hAnsi="Times New Roman;Times;Serif"/>
          <w:b w:val="false"/>
          <w:i w:val="false"/>
          <w:caps w:val="false"/>
          <w:smallCaps w:val="false"/>
          <w:sz w:val="20"/>
          <w:u w:val="single"/>
        </w:rPr>
        <w:t>Sections 10.9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10.10</w:t>
      </w:r>
      <w:r>
        <w:rPr>
          <w:rFonts w:ascii="Times New Roman;Times;Serif" w:hAnsi="Times New Roman;Times;Serif"/>
          <w:b w:val="false"/>
          <w:i w:val="false"/>
          <w:caps w:val="false"/>
          <w:smallCaps w:val="false"/>
          <w:sz w:val="20"/>
        </w:rPr>
        <w:t>.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Nature of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herein to the contrary notwithstanding, none of the bookrunners, arrangers or other agents listed on the cover page hereof shall have any powers, duties or responsibilities under this Agreement or any of the other Loan Documents, except in its capacity, as applicable, as the Agent, a Lender or the L/C Issuer hereunder.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xml:space="preserve"> shall apply to any such sub-agent and to the Related Parties of the Agent and any such sub-agent, and shall apply to their respective activities in connection with the syndication of the credit facilities provided for herein as well as activities as Agent. The Agent shall not be responsible for the negligence or misconduct of any </w:t>
      </w:r>
      <w:r>
        <w:rPr>
          <w:rFonts w:ascii="Times New Roman;Times;Serif" w:hAnsi="Times New Roman;Times;Serif"/>
          <w:b w:val="false"/>
          <w:i w:val="false"/>
          <w:caps w:val="false"/>
          <w:smallCaps w:val="false"/>
          <w:strike/>
          <w:color w:val="FF0000"/>
          <w:sz w:val="20"/>
        </w:rPr>
        <w:t>subagents</w:t>
      </w:r>
      <w:r>
        <w:rPr>
          <w:rFonts w:ascii="Times New Roman;Times;Serif" w:hAnsi="Times New Roman;Times;Serif"/>
          <w:b w:val="false"/>
          <w:i w:val="false"/>
          <w:caps w:val="false"/>
          <w:smallCaps w:val="false"/>
          <w:color w:val="0000FF"/>
          <w:sz w:val="20"/>
          <w:u w:val="single"/>
        </w:rPr>
        <w:t>sub-agents</w:t>
      </w:r>
      <w:r>
        <w:rPr>
          <w:rFonts w:ascii="Times New Roman;Times;Serif" w:hAnsi="Times New Roman;Times;Serif"/>
          <w:b w:val="false"/>
          <w:i w:val="false"/>
          <w:caps w:val="false"/>
          <w:smallCaps w:val="false"/>
          <w:sz w:val="20"/>
        </w:rPr>
        <w:t xml:space="preserve"> except to the extent that a court of competent jurisdiction determines in a final and non-appealable judgment that the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shall not have any duties or obligations except those expressly set forth herein and in the other Loan Documents, and its obligations hereunder shall be administrative in nature. Without limiting the generality of the foregoing,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not be subject to any fiduciary or other implied duties, regardless of whether a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 Lender or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Reliance by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notice to the contrary from such Lender or the L/C Issuer prior to the making of such Loan or the issuance of such Letter of Credit. The Agent may consult with legal counsel (who may be counsel for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shall not be deemed to have knowledge or notice of the occurrence of any Default or Unmatured Default hereunder unless the Agent has received written notice from a Lender or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referring to this Agreement, describing such Default or Unmatured Default and stating that such notice is a “notice of default”. In the event that the Agent receives such a notice, the Agent shall give prompt notice thereof to the Lenders. The Agent shall take such action with respect to such Default or Unmatured Default as shall be reasonably directed by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unless and until the Agent shall have received such directions, the Agent may (but shall not be obligated to) take such action, or refrain from taking such action, with respect to such Default or Unmatured Default as it shall deem advisable in the best interests of the Lenders except to the extent that this Agreement expressly requires that such action be taken, or not taken, only with the consent or upon the authorization of the Required Lenders, or all of the Lenders,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Non-Reliance on Agent and Other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the L/C Issuer expressly acknowledges that neither the Agent nor any of its officers, directors, employees, agents, attorneys-in-fact or affiliates has made any representation or warranty to it and that no act by the Agent hereinafter taken, including any review of the affairs of any Loan Party, shall be deemed to constitute any representation or warranty by the Agent to any Lender. Each Lender and the L/C Issuer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agree to indemnify the Agent</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the L/C Issuer in their respective capacities hereunder and their Affiliates and their respective officers, directors, agents and employees (to the extent not reimbursed by the Loan Parties and without limiting the obligation of the Loan Parties to do so), ratably according to their respective Pro Rata Shares in effect on the date on which indemnification is sought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color w:val="0000FF"/>
          <w:sz w:val="20"/>
          <w:u w:val="single"/>
        </w:rPr>
        <w:t> 10.7</w:t>
      </w:r>
      <w:r>
        <w:rPr>
          <w:rFonts w:ascii="Times New Roman;Times;Serif" w:hAnsi="Times New Roman;Times;Serif"/>
          <w:b w:val="false"/>
          <w:i w:val="false"/>
          <w:caps w:val="false"/>
          <w:smallCaps w:val="false"/>
          <w:sz w:val="20"/>
        </w:rPr>
        <w:t xml:space="preserve">, from and against any and all liabilities, obligations, losses, damages, penalties, actions, judgments, suits, costs, expenses or disbursements of any kind whatsoever which may at any time (including, without limitation, at any time following the payment of the Obligations) be imposed on, incurred by or asserted against any such indemnitee in any way relating to or arising out of any Loan Document or any documents contemplated by or referred to herein or therein or the transactions contemplated by this agreement or the other Loan Documents or any action taken or omitted by any such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trike/>
          <w:color w:val="FF0000"/>
          <w:sz w:val="20"/>
        </w:rPr>
        <w:t>no</w:t>
      </w:r>
      <w:r>
        <w:rPr>
          <w:rFonts w:ascii="Times New Roman;Times;Serif" w:hAnsi="Times New Roman;Times;Serif"/>
          <w:b w:val="false"/>
          <w:i w:val="false"/>
          <w:caps w:val="false"/>
          <w:smallCaps w:val="false"/>
          <w:color w:val="0000FF"/>
          <w:sz w:val="20"/>
          <w:u w:val="single"/>
        </w:rPr>
        <w:t>the Lenders, the Swingline</w:t>
      </w:r>
      <w:r>
        <w:rPr>
          <w:rFonts w:ascii="Times New Roman;Times;Serif" w:hAnsi="Times New Roman;Times;Serif"/>
          <w:b w:val="false"/>
          <w:i w:val="false"/>
          <w:caps w:val="false"/>
          <w:smallCaps w:val="false"/>
          <w:sz w:val="20"/>
        </w:rPr>
        <w:t xml:space="preserve"> Lender </w:t>
      </w:r>
      <w:r>
        <w:rPr>
          <w:rFonts w:ascii="Times New Roman;Times;Serif" w:hAnsi="Times New Roman;Times;Serif"/>
          <w:b w:val="false"/>
          <w:i w:val="false"/>
          <w:caps w:val="false"/>
          <w:smallCaps w:val="false"/>
          <w:color w:val="0000FF"/>
          <w:sz w:val="20"/>
          <w:u w:val="single"/>
        </w:rPr>
        <w:t xml:space="preserve">and the L/C Issuer </w:t>
      </w:r>
      <w:r>
        <w:rPr>
          <w:rFonts w:ascii="Times New Roman;Times;Serif" w:hAnsi="Times New Roman;Times;Serif"/>
          <w:b w:val="false"/>
          <w:i w:val="false"/>
          <w:caps w:val="false"/>
          <w:smallCaps w:val="false"/>
          <w:sz w:val="20"/>
        </w:rPr>
        <w:t xml:space="preserve">shall </w:t>
      </w:r>
      <w:r>
        <w:rPr>
          <w:rFonts w:ascii="Times New Roman;Times;Serif" w:hAnsi="Times New Roman;Times;Serif"/>
          <w:b w:val="false"/>
          <w:i w:val="false"/>
          <w:caps w:val="false"/>
          <w:smallCaps w:val="false"/>
          <w:color w:val="0000FF"/>
          <w:sz w:val="20"/>
          <w:u w:val="single"/>
        </w:rPr>
        <w:t xml:space="preserve">not </w:t>
      </w:r>
      <w:r>
        <w:rPr>
          <w:rFonts w:ascii="Times New Roman;Times;Serif" w:hAnsi="Times New Roman;Times;Serif"/>
          <w:b w:val="false"/>
          <w:i w:val="false"/>
          <w:caps w:val="false"/>
          <w:smallCaps w:val="false"/>
          <w:sz w:val="20"/>
        </w:rPr>
        <w:t>be liable for the payment of any portion of such liabilities, obligations, losses, damages, penalties, actions, judgments, suits, costs, expenses or disbursements to the extent resulting from such indemnitee’s gross negligence or willful misconduct, as determined by a court of competent jurisdiction. The agreements in this Section shall survive the termination of this Agreement and payment of the Notes, any Reimbursement Obligation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Agent in Its Individual Capacity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Loan Parties or any Subsidiary or other Affiliate thereof as if such Person were not the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Resignation of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(a)           The Agent may at any time give notice of its resignation to the Lenders, the L/C Issuer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Upon receipt of any such notice of resignation, the Required Lenders shall have the right, with the prior written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if no Default has occurred and is continuing (which consent shall not be unreasonably withheld or delayed), to appoint a successor, which shall be a bank </w:t>
      </w:r>
      <w:r>
        <w:rPr>
          <w:rFonts w:ascii="Times New Roman;Times;Serif" w:hAnsi="Times New Roman;Times;Serif"/>
          <w:b w:val="false"/>
          <w:i w:val="false"/>
          <w:caps w:val="false"/>
          <w:smallCaps w:val="false"/>
          <w:color w:val="0000FF"/>
          <w:sz w:val="20"/>
          <w:u w:val="single"/>
        </w:rPr>
        <w:t xml:space="preserve">or trust company, in each case, </w:t>
      </w:r>
      <w:r>
        <w:rPr>
          <w:rFonts w:ascii="Times New Roman;Times;Serif" w:hAnsi="Times New Roman;Times;Serif"/>
          <w:b w:val="false"/>
          <w:i w:val="false"/>
          <w:caps w:val="false"/>
          <w:smallCaps w:val="false"/>
          <w:sz w:val="20"/>
        </w:rPr>
        <w:t>with an office in the United States, or an Affiliate of any such bank with an office in the United States. If no such successor shall have been so appointed by the Required Lenders and shall have accepted such appointment within thirty (30) days after the retiring Agent gives notice of its resignation (or such earlier day as shall be agreed by the Required Lenders)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then the retiring Agent may (but shall not be obligated to), on behalf of the Lenders and the L/C Issuer, appoint a successor Agent meeting the qualifications set forth above. Whether or not a successor has been appointed, such resignation shall nonetheless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If the Person serving as Agent is a Defaulting Lender pursuant to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the definition thereof, the Required Lenders may, to the extent permitted by applicable law, with the prior written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if no Default has occurred and is continuing (which consent shall not be unreasonably withheld or delayed), by notice in writing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such Person remove such Person as Agent and, with the prior written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if no Default has occurred and is continuing (which consent shall not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(c)           With effect from the Resignation Effective Date or the Removal Effective Date (as applicable) (i) the retiring or removed Agent shall be discharged from its duties and obligations hereunder and under the other Loan Documents (except that in the case of any collateral held by the Agent on behalf of the Lenders or the L/C Issuer under any of the Loan Documents, the retiring Agent shall continue to hold such collateral until such time as a successor Agent is appointed) and (ii) all payments, communications and determinations provided to be made by, to or through the Agent shall instead be made by or to each Lender and the L/C Issuer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or under the other Loan Documents (if not already discharged therefrom as provided above in this paragraph). The fees payable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to a successor Agent shall be the same as those payable to its predecessor unless otherwise agreed between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such successor. After the retiring Agent’s resignation or removal hereunder and under the other Loan Documents, the provisions of this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10.7</w:t>
      </w:r>
      <w:r>
        <w:rPr>
          <w:rFonts w:ascii="Times New Roman;Times;Serif" w:hAnsi="Times New Roman;Times;Serif"/>
          <w:b w:val="false"/>
          <w:i w:val="false"/>
          <w:caps w:val="false"/>
          <w:smallCaps w:val="false"/>
          <w:sz w:val="20"/>
        </w:rPr>
        <w:t xml:space="preserve"> shall continue in effect for the benefit of such retiring or removed Agent, its sub-agents and their respective Related Parties in respect of any actions taken or omitted to be taken by any of them while the retiring Agent was acting as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(d)           Any resignation by Wells Fargo, as Agent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shall also constitute its resignation as L/C Issuer. Upon the acceptance of a successor’s appointment as Agent hereunder, (i) such successor shall succeed to and become vested with all of the rights, powers, privileges and duties of the retiring L/C Issuer, (ii) the retiring L/C Issuer shall be discharged from all of its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Guaranty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Lenders and any provider of Banking Services irrevocably authorize and direct the Agent to release any Loan Guarantor from its obligations under the applicable Loan Guaranty if such Person ceases to be a Loan Guarantor as a result of a transaction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In connection with a termination or release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the Agent shall promptly execute and deliver to the applicable Loan Party, at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expense, all documents that the applicable Loan Party shall reasonably request to evidence such termination or release. Upon request by the Agent at any time, the Required Lenders will confirm in writing the Agent’s authority to release any Loan Guarantor from its obligations under the Loan Guaranty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color w:val="0000FF"/>
          <w:sz w:val="20"/>
          <w:u w:val="single"/>
        </w:rPr>
        <w:t>, L/C Issuer’s and Swingline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Reimbursement and 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 Lenders agree</w:t>
      </w:r>
      <w:r>
        <w:rPr>
          <w:rFonts w:ascii="Times New Roman;Times;Serif" w:hAnsi="Times New Roman;Times;Serif"/>
          <w:b w:val="false"/>
          <w:i w:val="false"/>
          <w:caps w:val="false"/>
          <w:smallCaps w:val="false"/>
          <w:color w:val="0000FF"/>
          <w:sz w:val="20"/>
          <w:u w:val="single"/>
        </w:rPr>
        <w:t>Each Lender agrees</w:t>
      </w:r>
      <w:r>
        <w:rPr>
          <w:rFonts w:ascii="Times New Roman;Times;Serif" w:hAnsi="Times New Roman;Times;Serif"/>
          <w:b w:val="false"/>
          <w:i w:val="false"/>
          <w:caps w:val="false"/>
          <w:smallCaps w:val="false"/>
          <w:sz w:val="20"/>
        </w:rPr>
        <w:t xml:space="preserve"> to reimburse and indemnify the Agent </w:t>
      </w:r>
      <w:r>
        <w:rPr>
          <w:rFonts w:ascii="Times New Roman;Times;Serif" w:hAnsi="Times New Roman;Times;Serif"/>
          <w:b w:val="false"/>
          <w:i w:val="false"/>
          <w:caps w:val="false"/>
          <w:smallCaps w:val="false"/>
          <w:strike/>
          <w:color w:val="FF0000"/>
          <w:sz w:val="20"/>
        </w:rPr>
        <w:t>ratably in proportion to their respective Commitments (or, if the Commitments have been terminated, in proportion to their</w:t>
      </w:r>
      <w:r>
        <w:rPr>
          <w:rFonts w:ascii="Times New Roman;Times;Serif" w:hAnsi="Times New Roman;Times;Serif"/>
          <w:b w:val="false"/>
          <w:i w:val="false"/>
          <w:caps w:val="false"/>
          <w:smallCaps w:val="false"/>
          <w:color w:val="0000FF"/>
          <w:sz w:val="20"/>
          <w:u w:val="single"/>
        </w:rPr>
        <w:t>(or any sub-agent thereof), the L/C issuer, the Swingline Lender or any Related Party of any of the foregoing such Lender’s Pro Rata Share (determined as of the time that the applicable unreimbursed expense or indemnity payment is sought based on each Lender’s share of the outstanding Loans and Commitments hereunder at such time, or if the outstanding Loans and Commitments hereunder have been reduced to zero, then based on such Lender’s share of the total outstanding Loans and</w:t>
      </w:r>
      <w:r>
        <w:rPr>
          <w:rFonts w:ascii="Times New Roman;Times;Serif" w:hAnsi="Times New Roman;Times;Serif"/>
          <w:b w:val="false"/>
          <w:i w:val="false"/>
          <w:caps w:val="false"/>
          <w:smallCaps w:val="false"/>
          <w:sz w:val="20"/>
        </w:rPr>
        <w:t xml:space="preserve"> Commitments </w:t>
      </w:r>
      <w:r>
        <w:rPr>
          <w:rFonts w:ascii="Times New Roman;Times;Serif" w:hAnsi="Times New Roman;Times;Serif"/>
          <w:b w:val="false"/>
          <w:i w:val="false"/>
          <w:caps w:val="false"/>
          <w:smallCaps w:val="false"/>
          <w:color w:val="0000FF"/>
          <w:sz w:val="20"/>
          <w:u w:val="single"/>
        </w:rPr>
        <w:t xml:space="preserve">hereunder </w:t>
      </w:r>
      <w:r>
        <w:rPr>
          <w:rFonts w:ascii="Times New Roman;Times;Serif" w:hAnsi="Times New Roman;Times;Serif"/>
          <w:b w:val="false"/>
          <w:i w:val="false"/>
          <w:caps w:val="false"/>
          <w:smallCaps w:val="false"/>
          <w:sz w:val="20"/>
        </w:rPr>
        <w:t xml:space="preserve">immediately prior to such </w:t>
      </w:r>
      <w:r>
        <w:rPr>
          <w:rFonts w:ascii="Times New Roman;Times;Serif" w:hAnsi="Times New Roman;Times;Serif"/>
          <w:b w:val="false"/>
          <w:i w:val="false"/>
          <w:caps w:val="false"/>
          <w:smallCaps w:val="false"/>
          <w:strike/>
          <w:color w:val="FF0000"/>
          <w:sz w:val="20"/>
        </w:rPr>
        <w:t>termination</w:t>
      </w:r>
      <w:r>
        <w:rPr>
          <w:rFonts w:ascii="Times New Roman;Times;Serif" w:hAnsi="Times New Roman;Times;Serif"/>
          <w:b w:val="false"/>
          <w:i w:val="false"/>
          <w:caps w:val="false"/>
          <w:smallCaps w:val="false"/>
          <w:color w:val="0000FF"/>
          <w:sz w:val="20"/>
          <w:u w:val="single"/>
        </w:rPr>
        <w:t>reduction</w:t>
      </w:r>
      <w:r>
        <w:rPr>
          <w:rFonts w:ascii="Times New Roman;Times;Serif" w:hAnsi="Times New Roman;Times;Serif"/>
          <w:b w:val="false"/>
          <w:i w:val="false"/>
          <w:caps w:val="false"/>
          <w:smallCaps w:val="false"/>
          <w:sz w:val="20"/>
        </w:rPr>
        <w:t xml:space="preserve">) (a) for any amounts not reimbursed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for which 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is entitled to reimbursement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under the Loan Documents, (b) for any other expenses incurred by 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on behalf of the Lenders, in connection with the preparation, execution, delivery, administration and enforcement of the Loan Documents (including, without limitation, for any expenses incurred by 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in connection with any dispute between </w:t>
      </w:r>
      <w:r>
        <w:rPr>
          <w:rFonts w:ascii="Times New Roman;Times;Serif" w:hAnsi="Times New Roman;Times;Serif"/>
          <w:b w:val="false"/>
          <w:i w:val="false"/>
          <w:caps w:val="false"/>
          <w:smallCaps w:val="false"/>
          <w:strike/>
          <w:color w:val="FF0000"/>
          <w:sz w:val="20"/>
        </w:rPr>
        <w:t>the Agent and</w:t>
      </w:r>
      <w:r>
        <w:rPr>
          <w:rFonts w:ascii="Times New Roman;Times;Serif" w:hAnsi="Times New Roman;Times;Serif"/>
          <w:b w:val="false"/>
          <w:i w:val="false"/>
          <w:caps w:val="false"/>
          <w:smallCaps w:val="false"/>
          <w:color w:val="0000FF"/>
          <w:sz w:val="20"/>
          <w:u w:val="single"/>
        </w:rPr>
        <w:t>, on the one hand, the Agent, such sub-agent, the L/C Issuer, the Swingline Lender or such Related Party, as applicable, and, on the other hand,</w:t>
      </w:r>
      <w:r>
        <w:rPr>
          <w:rFonts w:ascii="Times New Roman;Times;Serif" w:hAnsi="Times New Roman;Times;Serif"/>
          <w:b w:val="false"/>
          <w:i w:val="false"/>
          <w:caps w:val="false"/>
          <w:smallCaps w:val="false"/>
          <w:sz w:val="20"/>
        </w:rPr>
        <w:t xml:space="preserve"> any Lender or between two or more of the Lenders) and (c) for any liabilities, obligations, losses, damages, penalties, actions, judgments, suits, costs, expenses or disbursements of any kind and nature whatsoever which may be imposed on, incurred by or asserted against 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in any way relating to or arising out of the Loan Documents or any other document delivered in connection therewith or the transactions contemplated thereby (including, without limitation, for any such amounts incurred by or asserted against 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in connection with any dispute between </w:t>
      </w:r>
      <w:r>
        <w:rPr>
          <w:rFonts w:ascii="Times New Roman;Times;Serif" w:hAnsi="Times New Roman;Times;Serif"/>
          <w:b w:val="false"/>
          <w:i w:val="false"/>
          <w:caps w:val="false"/>
          <w:smallCaps w:val="false"/>
          <w:color w:val="0000FF"/>
          <w:sz w:val="20"/>
          <w:u w:val="single"/>
        </w:rPr>
        <w:t>(i) (x) </w:t>
      </w:r>
      <w:r>
        <w:rPr>
          <w:rFonts w:ascii="Times New Roman;Times;Serif" w:hAnsi="Times New Roman;Times;Serif"/>
          <w:b w:val="false"/>
          <w:i w:val="false"/>
          <w:caps w:val="false"/>
          <w:smallCaps w:val="false"/>
          <w:sz w:val="20"/>
        </w:rPr>
        <w:t>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(y) </w:t>
      </w:r>
      <w:r>
        <w:rPr>
          <w:rFonts w:ascii="Times New Roman;Times;Serif" w:hAnsi="Times New Roman;Times;Serif"/>
          <w:b w:val="false"/>
          <w:i w:val="false"/>
          <w:caps w:val="false"/>
          <w:smallCaps w:val="false"/>
          <w:sz w:val="20"/>
        </w:rPr>
        <w:t xml:space="preserve">any Lender or </w:t>
      </w:r>
      <w:r>
        <w:rPr>
          <w:rFonts w:ascii="Times New Roman;Times;Serif" w:hAnsi="Times New Roman;Times;Serif"/>
          <w:b w:val="false"/>
          <w:i w:val="false"/>
          <w:caps w:val="false"/>
          <w:smallCaps w:val="false"/>
          <w:color w:val="0000FF"/>
          <w:sz w:val="20"/>
          <w:u w:val="single"/>
        </w:rPr>
        <w:t>(ii) </w:t>
      </w:r>
      <w:r>
        <w:rPr>
          <w:rFonts w:ascii="Times New Roman;Times;Serif" w:hAnsi="Times New Roman;Times;Serif"/>
          <w:b w:val="false"/>
          <w:i w:val="false"/>
          <w:caps w:val="false"/>
          <w:smallCaps w:val="false"/>
          <w:sz w:val="20"/>
        </w:rPr>
        <w:t xml:space="preserve">between two or more of the Lenders), or the enforcement of any of the terms of the Loan Documents or of any such other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for any of the foregoing to the extent any of the foregoing is found in a final non-appealable judgment by a court of competent jurisdiction to have resulted from the gross negligence or willful misconduct of the Agent</w:t>
      </w:r>
      <w:r>
        <w:rPr>
          <w:rFonts w:ascii="Times New Roman;Times;Serif" w:hAnsi="Times New Roman;Times;Serif"/>
          <w:b w:val="false"/>
          <w:i w:val="false"/>
          <w:caps w:val="false"/>
          <w:smallCaps w:val="false"/>
          <w:color w:val="0000FF"/>
          <w:sz w:val="20"/>
          <w:u w:val="single"/>
        </w:rPr>
        <w:t>, such sub-agent, the L/C Issuer, the Swingline Lender or such Related Party, as applicable</w:t>
      </w:r>
      <w:r>
        <w:rPr>
          <w:rFonts w:ascii="Times New Roman;Times;Serif" w:hAnsi="Times New Roman;Times;Serif"/>
          <w:b w:val="false"/>
          <w:i w:val="false"/>
          <w:caps w:val="false"/>
          <w:smallCaps w:val="false"/>
          <w:sz w:val="20"/>
        </w:rPr>
        <w:t xml:space="preserve">. The obligations of the Lenders under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shall survive payment of the Obligations and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herein, no provider of Banking Services that obtains the benefits of </w:t>
      </w:r>
      <w:r>
        <w:rPr>
          <w:rFonts w:ascii="Times New Roman;Times;Serif" w:hAnsi="Times New Roman;Times;Serif"/>
          <w:b w:val="false"/>
          <w:i w:val="false"/>
          <w:caps w:val="false"/>
          <w:smallCaps w:val="false"/>
          <w:sz w:val="20"/>
          <w:u w:val="single"/>
        </w:rPr>
        <w:t>Sections 2.23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w:t>
      </w:r>
      <w:r>
        <w:rPr>
          <w:rFonts w:ascii="Times New Roman;Times;Serif" w:hAnsi="Times New Roman;Times;Serif"/>
          <w:b w:val="false"/>
          <w:i w:val="false"/>
          <w:caps w:val="false"/>
          <w:smallCaps w:val="false"/>
          <w:sz w:val="20"/>
        </w:rPr>
        <w:t>, or any Loan Guaranty by virtue of the provisions hereof or of any Loan Guaranty or any Loan Document shall have any right to notice of any action or to consent to, direct or object to any action hereunder or under any other Loan Document other than in its capacity as a Lender and, in such case, only to the extent expressly provided in the Loan Documents. The Agent shall not be required to verify the payment of, or that other satisfactory arrangements have been made with respect to, Loan Party Obligations arising under Banking Services unless the Agent has received written notice of such Banking Services Obligations, together with such supporting documentation as the Agent may request, from the applicable provider of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each L/C Issuer, each other secured party and any other party hereto hereby severally agrees that if (i) the Agent notifies (which such notice shall be conclusive absent manifest error) such Lender or L/C Issuer or any other secured party (or the Lender Affiliate of a secured party) or any other Person that has received funds from the Agent or any of its Affiliates, either for its own account or on behalf of a Lender, L/C Issuer or other secured party (each such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then, in each case, such Payment Recipient is deemed to have knowledge of such error at the time of its receipt of such Erroneous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immediately preceding clause (a), each Payment Recipient agrees that, in the case of clause (a)(ii) above, it shall promptly notify the Agent in writing of such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either clause (a)(i) or (a)(ii)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the Federal Funds Rate and a rate determined by the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Agent for any reason, after demand therefor by the Agent in accordance with immediately preceding clause (c), from any Lender that is a Payment Recipient or an Affiliate of a Payment Recipient (such unrecovered amount as to such Lender, an “</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then at the sole discretion of the Agent and upon the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to the Agent or, at the option of the Agent, the Agent’s applicable lending affiliate in an amount that is equal to the Erroneous Payment Return Deficiency (or such lesser amount as the Agent may specify) (such assignment of the Loans (but not Commitments) of the Erroneous Payment Impacted Class, the “</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plus any accrued and unpaid interest on such assigned amount, without further consent or approval of any party hereto and without any payment by the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and (3) the Agent may reflect such assignments in the Register without further consent or action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except, in each case, to the extent such Erroneous Payment is, and solely with respect to the amount of such Erroneous Payment that is, comprised of funds received by the Agent from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party’s obligations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will constitute a waiver or release of any claim of the Agent hereunder arising from any Payment Recipient’s receipt of an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SETOFF; RATABLE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and without limitation of, any rights of the Lenders under applicable law, if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becomes insolvent, however evidenced, or any Default occurs, any and all deposits (including all account balances, whether provisional or final and whether or not collected or available) and any other Indebtedness at any time held or owing by any Lender</w:t>
      </w:r>
      <w:r>
        <w:rPr>
          <w:rFonts w:ascii="Times New Roman;Times;Serif" w:hAnsi="Times New Roman;Times;Serif"/>
          <w:b w:val="false"/>
          <w:i w:val="false"/>
          <w:caps w:val="false"/>
          <w:smallCaps w:val="false"/>
          <w:color w:val="0000FF"/>
          <w:sz w:val="20"/>
          <w:u w:val="single"/>
        </w:rPr>
        <w:t>, the L/C Issuer, the Swingline Lender</w:t>
      </w:r>
      <w:r>
        <w:rPr>
          <w:rFonts w:ascii="Times New Roman;Times;Serif" w:hAnsi="Times New Roman;Times;Serif"/>
          <w:b w:val="false"/>
          <w:i w:val="false"/>
          <w:caps w:val="false"/>
          <w:smallCaps w:val="false"/>
          <w:sz w:val="20"/>
        </w:rPr>
        <w:t xml:space="preserve"> or any Affiliate of any </w:t>
      </w:r>
      <w:r>
        <w:rPr>
          <w:rFonts w:ascii="Times New Roman;Times;Serif" w:hAnsi="Times New Roman;Times;Serif"/>
          <w:b w:val="false"/>
          <w:i w:val="false"/>
          <w:caps w:val="false"/>
          <w:smallCaps w:val="false"/>
          <w:strike/>
          <w:color w:val="FF0000"/>
          <w:sz w:val="20"/>
        </w:rPr>
        <w:t>Lender</w:t>
      </w:r>
      <w:r>
        <w:rPr>
          <w:rFonts w:ascii="Times New Roman;Times;Serif" w:hAnsi="Times New Roman;Times;Serif"/>
          <w:b w:val="false"/>
          <w:i w:val="false"/>
          <w:caps w:val="false"/>
          <w:smallCaps w:val="false"/>
          <w:color w:val="0000FF"/>
          <w:sz w:val="20"/>
          <w:u w:val="single"/>
        </w:rPr>
        <w:t>of the foregoing-described Persons</w:t>
      </w:r>
      <w:r>
        <w:rPr>
          <w:rFonts w:ascii="Times New Roman;Times;Serif" w:hAnsi="Times New Roman;Times;Serif"/>
          <w:b w:val="false"/>
          <w:i w:val="false"/>
          <w:caps w:val="false"/>
          <w:smallCaps w:val="false"/>
          <w:sz w:val="20"/>
        </w:rPr>
        <w:t xml:space="preserve"> to or for the credit or account of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Borrower may be offset and applied toward the payment of the Obligations owing to such Lender, </w:t>
      </w:r>
      <w:r>
        <w:rPr>
          <w:rFonts w:ascii="Times New Roman;Times;Serif" w:hAnsi="Times New Roman;Times;Serif"/>
          <w:b w:val="false"/>
          <w:i w:val="false"/>
          <w:caps w:val="false"/>
          <w:smallCaps w:val="false"/>
          <w:color w:val="0000FF"/>
          <w:sz w:val="20"/>
          <w:u w:val="single"/>
        </w:rPr>
        <w:t xml:space="preserve">the L/C Issuer, the Swingline Lender or any Affiliate of any of the foregoing, </w:t>
      </w:r>
      <w:r>
        <w:rPr>
          <w:rFonts w:ascii="Times New Roman;Times;Serif" w:hAnsi="Times New Roman;Times;Serif"/>
          <w:b w:val="false"/>
          <w:i w:val="false"/>
          <w:caps w:val="false"/>
          <w:smallCaps w:val="false"/>
          <w:sz w:val="20"/>
        </w:rPr>
        <w:t xml:space="preserve">whether or not the Obligations, or any part hereof, shall then be due;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(i) all amounts so set off shall be paid over immediately to the Agent for further application in accordance with the provisions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Agent,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the other Lenders, and (ii) the Defaulting Lender shall provide promptly to the Agent a statement describing in reasonable detail the Obligations owing to such Defaulting Lender as to which it exercised such right of setoff. The rights of each Lender,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their respective Affiliates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are in addition to other rights and remedies (including other rights of setoff) that such Lender, L/C Issuer</w:t>
      </w:r>
      <w:r>
        <w:rPr>
          <w:rFonts w:ascii="Times New Roman;Times;Serif" w:hAnsi="Times New Roman;Times;Serif"/>
          <w:b w:val="false"/>
          <w:i w:val="false"/>
          <w:caps w:val="false"/>
          <w:smallCaps w:val="false"/>
          <w:color w:val="0000FF"/>
          <w:sz w:val="20"/>
          <w:u w:val="single"/>
        </w:rPr>
        <w:t>, Swingline Lender</w:t>
      </w:r>
      <w:r>
        <w:rPr>
          <w:rFonts w:ascii="Times New Roman;Times;Serif" w:hAnsi="Times New Roman;Times;Serif"/>
          <w:b w:val="false"/>
          <w:i w:val="false"/>
          <w:caps w:val="false"/>
          <w:smallCaps w:val="false"/>
          <w:sz w:val="20"/>
        </w:rPr>
        <w:t xml:space="preserve"> or their respective Affiliates may have. Each Lender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L/C Issuer </w:t>
      </w:r>
      <w:r>
        <w:rPr>
          <w:rFonts w:ascii="Times New Roman;Times;Serif" w:hAnsi="Times New Roman;Times;Serif"/>
          <w:b w:val="false"/>
          <w:i w:val="false"/>
          <w:caps w:val="false"/>
          <w:smallCaps w:val="false"/>
          <w:color w:val="0000FF"/>
          <w:sz w:val="20"/>
          <w:u w:val="single"/>
        </w:rPr>
        <w:t xml:space="preserve">and the Swingline Lender </w:t>
      </w:r>
      <w:r>
        <w:rPr>
          <w:rFonts w:ascii="Times New Roman;Times;Serif" w:hAnsi="Times New Roman;Times;Serif"/>
          <w:b w:val="false"/>
          <w:i w:val="false"/>
          <w:caps w:val="false"/>
          <w:smallCaps w:val="false"/>
          <w:sz w:val="20"/>
        </w:rPr>
        <w:t xml:space="preserve">agrees to notify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Ratable Payments</w:t>
      </w:r>
      <w:r>
        <w:rPr>
          <w:rFonts w:ascii="Times New Roman;Times;Serif" w:hAnsi="Times New Roman;Times;Serif"/>
          <w:b w:val="false"/>
          <w:i w:val="false"/>
          <w:caps w:val="false"/>
          <w:smallCaps w:val="false"/>
          <w:sz w:val="20"/>
        </w:rPr>
        <w:t xml:space="preserve">. If any Lender, whether by setoff or otherwise, has payment made to it upon its Loans (other than payments received pursuant to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in a greater proportion than that received by any other Lender, such Lender agrees, promptly upon demand, to purchase a portion of the Loans held by the other Lenders so that after such purchase each Lender will hold its ratable proportion of Loans.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ratably in proportion to their Loans. In case any such payment is disturbed by legal process, or otherwise, appropriate further adjustments shall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BENEFIT OF AGREEMENT; ASSIGNMENTS; PARTICIPATIONS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The terms and provisions of the Loan Documents shall be binding upon and inure to the benefit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Lenders and their respective successors and assigns, except that (a)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not have the right to assign </w:t>
      </w:r>
      <w:r>
        <w:rPr>
          <w:rFonts w:ascii="Times New Roman;Times;Serif" w:hAnsi="Times New Roman;Times;Serif"/>
          <w:b w:val="false"/>
          <w:i w:val="false"/>
          <w:caps w:val="false"/>
          <w:smallCaps w:val="false"/>
          <w:strike/>
          <w:color w:val="FF0000"/>
          <w:sz w:val="20"/>
        </w:rPr>
        <w:t>its</w:t>
      </w:r>
      <w:r>
        <w:rPr>
          <w:rFonts w:ascii="Times New Roman;Times;Serif" w:hAnsi="Times New Roman;Times;Serif"/>
          <w:b w:val="false"/>
          <w:i w:val="false"/>
          <w:caps w:val="false"/>
          <w:smallCaps w:val="false"/>
          <w:color w:val="0000FF"/>
          <w:sz w:val="20"/>
          <w:u w:val="single"/>
        </w:rPr>
        <w:t>their respective</w:t>
      </w:r>
      <w:r>
        <w:rPr>
          <w:rFonts w:ascii="Times New Roman;Times;Serif" w:hAnsi="Times New Roman;Times;Serif"/>
          <w:b w:val="false"/>
          <w:i w:val="false"/>
          <w:caps w:val="false"/>
          <w:smallCaps w:val="false"/>
          <w:sz w:val="20"/>
        </w:rPr>
        <w:t xml:space="preserve"> rights or obligations under the Loan Documents and (b) any assignment by any Lender must be made in compliance with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any Lender may at any time, without the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the Agent, assign all or any portion of its rights under this Agreement and any Note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assignment to a Federal Reserve Bank shall release the transferor Lender from its obligations hereunder. The Agent may treat the Person which made any Loan or which holds any Note as the owner thereof for all purposes hereof unless and until such Person complies with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in the case of an assignment thereof or, in the case of any other transfer, a written notice of the transfer is filed with the Agent. Any assignee or transferee of the rights to any Loan or any Note agrees by acceptance of such transfer or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transferee or assignee of the rights to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Permitted Participants; Effect</w:t>
      </w:r>
      <w:r>
        <w:rPr>
          <w:rFonts w:ascii="Times New Roman;Times;Serif" w:hAnsi="Times New Roman;Times;Serif"/>
          <w:b w:val="false"/>
          <w:i w:val="false"/>
          <w:caps w:val="false"/>
          <w:smallCaps w:val="false"/>
          <w:sz w:val="20"/>
        </w:rPr>
        <w:t>. Any Lender may, in the ordinary course of its business and in accordance with applicable law, at any time sell to one or more banks or other entities other than any Ineligible Institution (“</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participating interests in any Loan owing to such Lender, any Note held by such Lender, any Commitment of such Lender</w:t>
      </w:r>
      <w:r>
        <w:rPr>
          <w:rFonts w:ascii="Times New Roman;Times;Serif" w:hAnsi="Times New Roman;Times;Serif"/>
          <w:b w:val="false"/>
          <w:i w:val="false"/>
          <w:caps w:val="false"/>
          <w:smallCaps w:val="false"/>
          <w:color w:val="0000FF"/>
          <w:sz w:val="20"/>
          <w:u w:val="single"/>
        </w:rPr>
        <w:t>, any Incremental Term Loan Commitment of such Lender, any Alternative Currency Commitment or Alternative Currency Loan of such Lender if such Lender is an Alternative Currency Lender,</w:t>
      </w:r>
      <w:r>
        <w:rPr>
          <w:rFonts w:ascii="Times New Roman;Times;Serif" w:hAnsi="Times New Roman;Times;Serif"/>
          <w:b w:val="false"/>
          <w:i w:val="false"/>
          <w:caps w:val="false"/>
          <w:smallCaps w:val="false"/>
          <w:sz w:val="20"/>
        </w:rPr>
        <w:t xml:space="preserve">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Loans </w:t>
      </w:r>
      <w:r>
        <w:rPr>
          <w:rFonts w:ascii="Times New Roman;Times;Serif" w:hAnsi="Times New Roman;Times;Serif"/>
          <w:b w:val="false"/>
          <w:i w:val="false"/>
          <w:caps w:val="false"/>
          <w:smallCaps w:val="false"/>
          <w:strike/>
          <w:color w:val="FF0000"/>
          <w:sz w:val="20"/>
        </w:rPr>
        <w:t>and the</w:t>
      </w:r>
      <w:r>
        <w:rPr>
          <w:rFonts w:ascii="Times New Roman;Times;Serif" w:hAnsi="Times New Roman;Times;Serif"/>
          <w:b w:val="false"/>
          <w:i w:val="false"/>
          <w:caps w:val="false"/>
          <w:smallCaps w:val="false"/>
          <w:color w:val="0000FF"/>
          <w:sz w:val="20"/>
          <w:u w:val="single"/>
        </w:rPr>
        <w:t>, Commitments, Incremental Term Loan Commitments, Alternative Currency Commitments and Alternative Currency Loans, as applicable, and the</w:t>
      </w:r>
      <w:r>
        <w:rPr>
          <w:rFonts w:ascii="Times New Roman;Times;Serif" w:hAnsi="Times New Roman;Times;Serif"/>
          <w:b w:val="false"/>
          <w:i w:val="false"/>
          <w:caps w:val="false"/>
          <w:smallCaps w:val="false"/>
          <w:sz w:val="20"/>
        </w:rPr>
        <w:t xml:space="preserve"> holder of any Note issued to it in evidence thereof for all purposes under the Loan Documents, all amounts payable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under this Agreement shall be determined as if such Lender had not sold such participating interests,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shall continue to deal solely and directly with such Lender in connection with such Lender’s rights and obligations under the Loan Documents. </w:t>
      </w:r>
      <w:r>
        <w:rPr>
          <w:rFonts w:ascii="Times New Roman;Times;Serif" w:hAnsi="Times New Roman;Times;Serif"/>
          <w:b w:val="false"/>
          <w:i w:val="false"/>
          <w:caps w:val="false"/>
          <w:smallCaps w:val="false"/>
          <w:color w:val="0000FF"/>
          <w:sz w:val="20"/>
          <w:u w:val="single"/>
        </w:rPr>
        <w:t>No participation sold by a Lender that is not an Alternative Currency Lender shall create any obligation of such Lender or its Participant to make, maintain, fund or acquire any interest in any Alternative Currency Loan or participation in any Letter of Credit denominated in an Alternative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xml:space="preserve">. Each Lender shall retain the sole right to approve, without the consent of any Participant, any amendment, modification or waiver of any provision of the Loan Documents other than any amendment, modification or waiver with respect to any Loan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 Commitment, Incremental Term Loan Commitment, Alternative Currency Loan or Alternative Currency</w:t>
      </w:r>
      <w:r>
        <w:rPr>
          <w:rFonts w:ascii="Times New Roman;Times;Serif" w:hAnsi="Times New Roman;Times;Serif"/>
          <w:b w:val="false"/>
          <w:i w:val="false"/>
          <w:caps w:val="false"/>
          <w:smallCaps w:val="false"/>
          <w:sz w:val="20"/>
        </w:rPr>
        <w:t xml:space="preserve"> Commitment in which such Participant has an interest which forgives principal, interest or fees or reduces the interest rate or fees payable with respect to any such Loan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 Commitment, Incremental Term Loan Commitment, Alternative Currency Loan or Alternative Currency</w:t>
      </w:r>
      <w:r>
        <w:rPr>
          <w:rFonts w:ascii="Times New Roman;Times;Serif" w:hAnsi="Times New Roman;Times;Serif"/>
          <w:b w:val="false"/>
          <w:i w:val="false"/>
          <w:caps w:val="false"/>
          <w:smallCaps w:val="false"/>
          <w:sz w:val="20"/>
        </w:rPr>
        <w:t xml:space="preserve"> Commitment, extends the Maturity Date </w:t>
      </w:r>
      <w:r>
        <w:rPr>
          <w:rFonts w:ascii="Times New Roman;Times;Serif" w:hAnsi="Times New Roman;Times;Serif"/>
          <w:b w:val="false"/>
          <w:i w:val="false"/>
          <w:caps w:val="false"/>
          <w:smallCaps w:val="false"/>
          <w:color w:val="0000FF"/>
          <w:sz w:val="20"/>
          <w:u w:val="single"/>
        </w:rPr>
        <w:t>or the maturity date of any Incremental Term Loan</w:t>
      </w:r>
      <w:r>
        <w:rPr>
          <w:rFonts w:ascii="Times New Roman;Times;Serif" w:hAnsi="Times New Roman;Times;Serif"/>
          <w:b w:val="false"/>
          <w:i w:val="false"/>
          <w:caps w:val="false"/>
          <w:smallCaps w:val="false"/>
          <w:sz w:val="20"/>
        </w:rPr>
        <w:t>, postpones any date fixed for any regularly</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scheduled payment of principal of, or interest or fees on, any such Loan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 Commitment, Incremental Term Loan Commitment, Alternative Currency Loan or Alternative Currency</w:t>
      </w:r>
      <w:r>
        <w:rPr>
          <w:rFonts w:ascii="Times New Roman;Times;Serif" w:hAnsi="Times New Roman;Times;Serif"/>
          <w:b w:val="false"/>
          <w:i w:val="false"/>
          <w:caps w:val="false"/>
          <w:smallCaps w:val="false"/>
          <w:sz w:val="20"/>
        </w:rPr>
        <w:t xml:space="preserve"> Commitment, releases any guarantor of any such Loan </w:t>
      </w:r>
      <w:r>
        <w:rPr>
          <w:rFonts w:ascii="Times New Roman;Times;Serif" w:hAnsi="Times New Roman;Times;Serif"/>
          <w:b w:val="false"/>
          <w:i w:val="false"/>
          <w:caps w:val="false"/>
          <w:smallCaps w:val="false"/>
          <w:color w:val="0000FF"/>
          <w:sz w:val="20"/>
          <w:u w:val="single"/>
        </w:rPr>
        <w:t xml:space="preserve">or Alternative Currency Loan </w:t>
      </w:r>
      <w:r>
        <w:rPr>
          <w:rFonts w:ascii="Times New Roman;Times;Serif" w:hAnsi="Times New Roman;Times;Serif"/>
          <w:b w:val="false"/>
          <w:i w:val="false"/>
          <w:caps w:val="false"/>
          <w:smallCaps w:val="false"/>
          <w:sz w:val="20"/>
        </w:rPr>
        <w:t xml:space="preserve">or releases all or substantially all of the collateral, if any, securing any such </w:t>
      </w:r>
      <w:r>
        <w:rPr>
          <w:rFonts w:ascii="Times New Roman;Times;Serif" w:hAnsi="Times New Roman;Times;Serif"/>
          <w:b w:val="false"/>
          <w:i w:val="false"/>
          <w:caps w:val="false"/>
          <w:smallCaps w:val="false"/>
          <w:color w:val="0000FF"/>
          <w:sz w:val="20"/>
          <w:u w:val="single"/>
        </w:rPr>
        <w:t xml:space="preserve">Loan or Alternative Currency </w:t>
      </w:r>
      <w:r>
        <w:rPr>
          <w:rFonts w:ascii="Times New Roman;Times;Serif" w:hAnsi="Times New Roman;Times;Serif"/>
          <w:b w:val="false"/>
          <w:i w:val="false"/>
          <w:caps w:val="false"/>
          <w:smallCaps w:val="false"/>
          <w:sz w:val="20"/>
        </w:rPr>
        <w:t xml:space="preserve">Loan, in either case, if such release requires the consent of all of the Lenders </w:t>
      </w:r>
      <w:r>
        <w:rPr>
          <w:rFonts w:ascii="Times New Roman;Times;Serif" w:hAnsi="Times New Roman;Times;Serif"/>
          <w:b w:val="false"/>
          <w:i w:val="false"/>
          <w:caps w:val="false"/>
          <w:smallCaps w:val="false"/>
          <w:color w:val="0000FF"/>
          <w:sz w:val="20"/>
          <w:u w:val="single"/>
        </w:rPr>
        <w:t>or all of the Alternative Currency Lenders, as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Benefit of Setoff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agrees that each Participant shall be deemed to have the right of setoff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in respect of its participating interest in amounts owing under the Loan Documents to the same extent as if the amount of its participating interest were owing directly to it as a Lender under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Lender shall retain the right of setoff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with respect to the amount of participating interests sold to each Participant. The Lenders agree to share with each Participant, and each Participant, by exercising the right of setoff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agrees to share with each Lender, any amount received pursuant to the exercise of its right of setoff, such amounts to be shared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as if each Participant were a Lender. </w:t>
      </w:r>
      <w:r>
        <w:rPr>
          <w:rFonts w:ascii="Times New Roman;Times;Serif" w:hAnsi="Times New Roman;Times;Serif"/>
          <w:b w:val="false"/>
          <w:i w:val="false"/>
          <w:caps w:val="false"/>
          <w:smallCaps w:val="false"/>
          <w:color w:val="0000FF"/>
          <w:sz w:val="20"/>
          <w:u w:val="single"/>
        </w:rPr>
        <w:t>Each Borrower agrees that each Participant shall be entitled to the benefits of Sections 3.1 – 3.5 (subject to the requirements and limitations therein, including the requirements under Section 3.5(f) (it being understood that the documentation required under Section 3.5(f) shall be delivered to the participating Lender)) to the same extent as if it were a Lender and had acquired its interest by assignment pursuant to Section 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(d)           Each Lender that sells a participation shall, acting solely for this purpose as an agent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as required under applicable law to fulfill such Person’s reporting and withholding obligations if any under FATCA.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(including any Affiliate of the L/C Issuer that issues any Letter of Credit), except that (i)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may not assign or otherwise transfer any of </w:t>
      </w:r>
      <w:r>
        <w:rPr>
          <w:rFonts w:ascii="Times New Roman;Times;Serif" w:hAnsi="Times New Roman;Times;Serif"/>
          <w:b w:val="false"/>
          <w:i w:val="false"/>
          <w:caps w:val="false"/>
          <w:smallCaps w:val="false"/>
          <w:strike/>
          <w:color w:val="FF0000"/>
          <w:sz w:val="20"/>
        </w:rPr>
        <w:t>its</w:t>
      </w:r>
      <w:r>
        <w:rPr>
          <w:rFonts w:ascii="Times New Roman;Times;Serif" w:hAnsi="Times New Roman;Times;Serif"/>
          <w:b w:val="false"/>
          <w:i w:val="false"/>
          <w:caps w:val="false"/>
          <w:smallCaps w:val="false"/>
          <w:color w:val="0000FF"/>
          <w:sz w:val="20"/>
          <w:u w:val="single"/>
        </w:rPr>
        <w:t>their respective</w:t>
      </w:r>
      <w:r>
        <w:rPr>
          <w:rFonts w:ascii="Times New Roman;Times;Serif" w:hAnsi="Times New Roman;Times;Serif"/>
          <w:b w:val="false"/>
          <w:i w:val="false"/>
          <w:caps w:val="false"/>
          <w:smallCaps w:val="false"/>
          <w:sz w:val="20"/>
        </w:rPr>
        <w:t xml:space="preserve"> rights or obligations hereunder without the prior written consent of the Agent and each Lender (and any attempted assignment or transfer by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without such consent shall be null and void) and (ii) no Lender may assign or otherwise transfer its rights or obligations hereunder except in accordance with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(including any Affiliate of the L/C Issuer that issues any Letter of Credit), Participants (to the extent provided in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and, to the extent expressly contemplated hereby, the Related Parties of each of the Agent, the L/C Issuer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(i)    Subject to the conditions set forth in </w:t>
      </w:r>
      <w:r>
        <w:rPr>
          <w:rFonts w:ascii="Times New Roman;Times;Serif" w:hAnsi="Times New Roman;Times;Serif"/>
          <w:b w:val="false"/>
          <w:i w:val="false"/>
          <w:caps w:val="false"/>
          <w:smallCaps w:val="false"/>
          <w:sz w:val="20"/>
          <w:u w:val="single"/>
        </w:rPr>
        <w:t>paragraph (b)(ii)</w:t>
      </w:r>
      <w:r>
        <w:rPr>
          <w:rFonts w:ascii="Times New Roman;Times;Serif" w:hAnsi="Times New Roman;Times;Serif"/>
          <w:b w:val="false"/>
          <w:i w:val="false"/>
          <w:caps w:val="false"/>
          <w:smallCaps w:val="false"/>
          <w:sz w:val="20"/>
        </w:rPr>
        <w:t xml:space="preserve"> below, any Lender may assign to one or more Persons (other than an Ineligible Institution) all or a portion of its rights and obligations under this Agreement (including all or a portion of its Commitment </w:t>
      </w:r>
      <w:r>
        <w:rPr>
          <w:rFonts w:ascii="Times New Roman;Times;Serif" w:hAnsi="Times New Roman;Times;Serif"/>
          <w:b w:val="false"/>
          <w:i w:val="false"/>
          <w:caps w:val="false"/>
          <w:smallCaps w:val="false"/>
          <w:strike/>
          <w:color w:val="FF0000"/>
          <w:sz w:val="20"/>
        </w:rPr>
        <w:t>and the</w:t>
      </w:r>
      <w:r>
        <w:rPr>
          <w:rFonts w:ascii="Times New Roman;Times;Serif" w:hAnsi="Times New Roman;Times;Serif"/>
          <w:b w:val="false"/>
          <w:i w:val="false"/>
          <w:caps w:val="false"/>
          <w:smallCaps w:val="false"/>
          <w:color w:val="0000FF"/>
          <w:sz w:val="20"/>
          <w:u w:val="single"/>
        </w:rPr>
        <w:t>, Incremental Term Loan Commitment and the Loans at the time owing to it and, if such Lender is an Alternative Currency Lender, all or a portion of its Alternative Currency Commitment and Alternative Currency</w:t>
      </w:r>
      <w:r>
        <w:rPr>
          <w:rFonts w:ascii="Times New Roman;Times;Serif" w:hAnsi="Times New Roman;Times;Serif"/>
          <w:b w:val="false"/>
          <w:i w:val="false"/>
          <w:caps w:val="false"/>
          <w:smallCaps w:val="false"/>
          <w:sz w:val="20"/>
        </w:rPr>
        <w:t xml:space="preserve"> Loans at the time owing to it) with the prior written consent (such consent not to be unreasonably withheld)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be deemed to have consented to any such assignment unless it shall object thereto by written notice to the Agent within ten (10) Business Days after having received notice thereof,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be required for an assignment to a Lender, an Affiliate of a Lender, an Approved Fund or, if a Payment Event of Default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Bankruptcy Event </w:t>
      </w:r>
      <w:r>
        <w:rPr>
          <w:rFonts w:ascii="Times New Roman;Times;Serif" w:hAnsi="Times New Roman;Times;Serif"/>
          <w:b w:val="false"/>
          <w:i w:val="false"/>
          <w:caps w:val="false"/>
          <w:smallCaps w:val="false"/>
          <w:color w:val="0000FF"/>
          <w:sz w:val="20"/>
          <w:u w:val="single"/>
        </w:rPr>
        <w:t xml:space="preserve">or an Event of Default as a result of a failure to comply with Section 6.19 </w:t>
      </w:r>
      <w:r>
        <w:rPr>
          <w:rFonts w:ascii="Times New Roman;Times;Serif" w:hAnsi="Times New Roman;Times;Serif"/>
          <w:b w:val="false"/>
          <w:i w:val="false"/>
          <w:caps w:val="false"/>
          <w:smallCaps w:val="false"/>
          <w:sz w:val="20"/>
        </w:rPr>
        <w:t xml:space="preserve">has occurred and is continuing, any other assignee (other than an Ineligible Institution);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Agent shall be required for an assignment to a Lender, an Affiliate of a Lender or an Approved Fund; </w:t>
      </w:r>
      <w:r>
        <w:rPr>
          <w:rFonts w:ascii="Times New Roman;Times;Serif" w:hAnsi="Times New Roman;Times;Serif"/>
          <w:b w:val="false"/>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the L/C Issuer and the Swingline Lender for any assignment in respect of Commitments, such consents not to be unreasonably withheld; provided that no consent of the Agent shall be required for an assignment to a Lender, an Affiliate of a Lender or an Approved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an assignment to a Lender or an Affiliate of a Lender or an assignment of the entire remaining amount of the assigning Lender’s Commitment</w:t>
      </w:r>
      <w:r>
        <w:rPr>
          <w:rFonts w:ascii="Times New Roman;Times;Serif" w:hAnsi="Times New Roman;Times;Serif"/>
          <w:b w:val="false"/>
          <w:i w:val="false"/>
          <w:caps w:val="false"/>
          <w:smallCaps w:val="false"/>
          <w:color w:val="0000FF"/>
          <w:sz w:val="20"/>
          <w:u w:val="single"/>
        </w:rPr>
        <w:t>, Incremental Term Loan Commitment, Alternative Currency Commitment</w:t>
      </w:r>
      <w:r>
        <w:rPr>
          <w:rFonts w:ascii="Times New Roman;Times;Serif" w:hAnsi="Times New Roman;Times;Serif"/>
          <w:b w:val="false"/>
          <w:i w:val="false"/>
          <w:caps w:val="false"/>
          <w:smallCaps w:val="false"/>
          <w:sz w:val="20"/>
        </w:rPr>
        <w:t xml:space="preserve"> or Loans of any class, the amount of the Commitment</w:t>
      </w:r>
      <w:r>
        <w:rPr>
          <w:rFonts w:ascii="Times New Roman;Times;Serif" w:hAnsi="Times New Roman;Times;Serif"/>
          <w:b w:val="false"/>
          <w:i w:val="false"/>
          <w:caps w:val="false"/>
          <w:smallCaps w:val="false"/>
          <w:color w:val="0000FF"/>
          <w:sz w:val="20"/>
          <w:u w:val="single"/>
        </w:rPr>
        <w:t>, Incremental Term Loan Commitment, Alternative Currency Commitment</w:t>
      </w:r>
      <w:r>
        <w:rPr>
          <w:rFonts w:ascii="Times New Roman;Times;Serif" w:hAnsi="Times New Roman;Times;Serif"/>
          <w:b w:val="false"/>
          <w:i w:val="false"/>
          <w:caps w:val="false"/>
          <w:smallCaps w:val="false"/>
          <w:sz w:val="20"/>
        </w:rPr>
        <w:t xml:space="preserve"> or Loans of the assigning Lender subject to each such assignment (determined as of the date the Assignment and Assumption with respect to such assignment is delivered to the Agent) shall not be less than $5,000,000 unless each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be required if a Payment Event of Default or Bankruptcy Event </w:t>
      </w:r>
      <w:r>
        <w:rPr>
          <w:rFonts w:ascii="Times New Roman;Times;Serif" w:hAnsi="Times New Roman;Times;Serif"/>
          <w:b w:val="false"/>
          <w:i w:val="false"/>
          <w:caps w:val="false"/>
          <w:smallCaps w:val="false"/>
          <w:color w:val="0000FF"/>
          <w:sz w:val="20"/>
          <w:u w:val="single"/>
        </w:rPr>
        <w:t xml:space="preserve">of Default </w:t>
      </w:r>
      <w:r>
        <w:rPr>
          <w:rFonts w:ascii="Times New Roman;Times;Serif" w:hAnsi="Times New Roman;Times;Serif"/>
          <w:b w:val="false"/>
          <w:i w:val="false"/>
          <w:caps w:val="false"/>
          <w:smallCaps w:val="false"/>
          <w:sz w:val="20"/>
        </w:rPr>
        <w:t>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partial assignment shall be made as an assignment of a proportionate part of all the assigning Lender’s rights and obligations under this Agreement </w:t>
      </w:r>
      <w:r>
        <w:rPr>
          <w:rFonts w:ascii="Times New Roman;Times;Serif" w:hAnsi="Times New Roman;Times;Serif"/>
          <w:b w:val="false"/>
          <w:i w:val="false"/>
          <w:caps w:val="false"/>
          <w:smallCaps w:val="false"/>
          <w:color w:val="0000FF"/>
          <w:sz w:val="20"/>
          <w:u w:val="single"/>
        </w:rPr>
        <w:t>with respect to the applicable class of Commitments or Loans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shall not be construed to prohibit the assignment of a proportionate part of all the assigning Lender’s rights and obligations in respect of one class of Commitments or Loans</w:t>
      </w:r>
      <w:r>
        <w:rPr>
          <w:rFonts w:ascii="Times New Roman;Times;Serif" w:hAnsi="Times New Roman;Times;Serif"/>
          <w:b w:val="false"/>
          <w:i w:val="false"/>
          <w:caps w:val="false"/>
          <w:smallCaps w:val="false"/>
          <w:color w:val="0000FF"/>
          <w:sz w:val="20"/>
          <w:u w:val="single"/>
        </w:rPr>
        <w:t>, including the Alternative Currency Commitments and Alternative Currency Loans as a separate class and Incremental Term Loan Commitments and Incremental Term Loans as a separate class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to each assignment shall execute and deliver to the Agent an Assignment and Assumption, together with a processing and recordation fee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Agent may, in its sole discretion, elect to waive such processing and recordation fee in the case of any assignment. The assignee, if it is not a Lender, shall deliver to the Agent an Administrative Questionnaire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assignee, if it shall not be a Lender, shall deliver to the Agent an Administrative Questionnaire in which the assignee designates one or more contacts to whom all syndicate-level information (which may contain material non-public information about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the other Loan Parties and their Related Parties or their respective securities) will be made available and who may receive such information in accordance with the assignee’s compliance procedures and applicable laws, including Federal and state securities laws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the applicable Pro Rata Share of Loans </w:t>
      </w:r>
      <w:r>
        <w:rPr>
          <w:rFonts w:ascii="Times New Roman;Times;Serif" w:hAnsi="Times New Roman;Times;Serif"/>
          <w:b w:val="false"/>
          <w:i w:val="false"/>
          <w:caps w:val="false"/>
          <w:smallCaps w:val="false"/>
          <w:color w:val="0000FF"/>
          <w:sz w:val="20"/>
          <w:u w:val="single"/>
        </w:rPr>
        <w:t xml:space="preserve">and participations in L/C Obligations or Swingline Loans </w:t>
      </w:r>
      <w:r>
        <w:rPr>
          <w:rFonts w:ascii="Times New Roman;Times;Serif" w:hAnsi="Times New Roman;Times;Serif"/>
          <w:b w:val="false"/>
          <w:i w:val="false"/>
          <w:caps w:val="false"/>
          <w:smallCaps w:val="false"/>
          <w:sz w:val="20"/>
        </w:rPr>
        <w:t xml:space="preserve">previously requested but not funded by the Defaulting Lender </w:t>
      </w:r>
      <w:r>
        <w:rPr>
          <w:rFonts w:ascii="Times New Roman;Times;Serif" w:hAnsi="Times New Roman;Times;Serif"/>
          <w:b w:val="false"/>
          <w:i w:val="false"/>
          <w:caps w:val="false"/>
          <w:smallCaps w:val="false"/>
          <w:color w:val="0000FF"/>
          <w:sz w:val="20"/>
          <w:u w:val="single"/>
        </w:rPr>
        <w:t>or, if such Defaulting Lender is an Alternative Currency Lender, the applicable Alternative Currency Pro Rata Share of Alternative Currency Loans or participations in L/C Obligations denominated in Alternative Currencies previously requested but not funded by such Defaulting Lender</w:t>
      </w:r>
      <w:r>
        <w:rPr>
          <w:rFonts w:ascii="Times New Roman;Times;Serif" w:hAnsi="Times New Roman;Times;Serif"/>
          <w:b w:val="false"/>
          <w:i w:val="false"/>
          <w:caps w:val="false"/>
          <w:smallCaps w:val="false"/>
          <w:sz w:val="20"/>
        </w:rPr>
        <w:t xml:space="preserve">, to each of which the applicable assignee and assignor hereby irrevocably consent), to (A) pay and satisfy in full all payment liabilities then owed by such Defaulting Lender to the Agent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any Lender</w:t>
      </w:r>
      <w:r>
        <w:rPr>
          <w:rFonts w:ascii="Times New Roman;Times;Serif" w:hAnsi="Times New Roman;Times;Serif"/>
          <w:b w:val="false"/>
          <w:i w:val="false"/>
          <w:caps w:val="false"/>
          <w:smallCaps w:val="false"/>
          <w:color w:val="0000FF"/>
          <w:sz w:val="20"/>
          <w:u w:val="single"/>
        </w:rPr>
        <w:t>, the L/C Issuer, the Swingline Lender or any Alternative Currency Lender</w:t>
      </w:r>
      <w:r>
        <w:rPr>
          <w:rFonts w:ascii="Times New Roman;Times;Serif" w:hAnsi="Times New Roman;Times;Serif"/>
          <w:b w:val="false"/>
          <w:i w:val="false"/>
          <w:caps w:val="false"/>
          <w:smallCaps w:val="false"/>
          <w:sz w:val="20"/>
        </w:rPr>
        <w:t xml:space="preserve"> hereunder (and interest accrued thereon), and (B) acquire (and fund as appropriate) its full Pro Rata Share of all Loans and participations in Letters of Credit </w:t>
      </w:r>
      <w:r>
        <w:rPr>
          <w:rFonts w:ascii="Times New Roman;Times;Serif" w:hAnsi="Times New Roman;Times;Serif"/>
          <w:b w:val="false"/>
          <w:i w:val="false"/>
          <w:caps w:val="false"/>
          <w:smallCaps w:val="false"/>
          <w:color w:val="0000FF"/>
          <w:sz w:val="20"/>
          <w:u w:val="single"/>
        </w:rPr>
        <w:t xml:space="preserve">and Swingline Loans </w:t>
      </w:r>
      <w:r>
        <w:rPr>
          <w:rFonts w:ascii="Times New Roman;Times;Serif" w:hAnsi="Times New Roman;Times;Serif"/>
          <w:b w:val="false"/>
          <w:i w:val="false"/>
          <w:caps w:val="false"/>
          <w:smallCaps w:val="false"/>
          <w:sz w:val="20"/>
        </w:rPr>
        <w:t xml:space="preserve">in accordance with its Pro Rata </w:t>
      </w:r>
      <w:r>
        <w:rPr>
          <w:rFonts w:ascii="Times New Roman;Times;Serif" w:hAnsi="Times New Roman;Times;Serif"/>
          <w:b w:val="false"/>
          <w:i w:val="false"/>
          <w:caps w:val="false"/>
          <w:smallCaps w:val="false"/>
          <w:color w:val="0000FF"/>
          <w:sz w:val="20"/>
          <w:u w:val="single"/>
        </w:rPr>
        <w:t xml:space="preserve">Share and, if such Defaulting Lender is an Alternative Currency Lender, its full Alternative Currency Pro Rata Share of Alternative Currency Loans and participations in Letters of Credit denominated in Alternative Currencies in accordance with its Alternative Currency Pro Rata </w:t>
      </w:r>
      <w:r>
        <w:rPr>
          <w:rFonts w:ascii="Times New Roman;Times;Serif" w:hAnsi="Times New Roman;Times;Serif"/>
          <w:b w:val="false"/>
          <w:i w:val="false"/>
          <w:caps w:val="false"/>
          <w:smallCaps w:val="false"/>
          <w:sz w:val="20"/>
        </w:rPr>
        <w:t>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             in connection with any assignment of an Alternative Currency Commitment or Alternative Currency Loan, the assignee shall be an Alternative Currency Lender or shall become an Alternative Currency Lender upon effectiveness of such assignment and shall be able to fund and receive payments in Sterling through an applicable Lending Installation acceptable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w:t>
      </w:r>
      <w:r>
        <w:rPr>
          <w:rFonts w:ascii="Times New Roman;Times;Serif" w:hAnsi="Times New Roman;Times;Serif"/>
          <w:b w:val="false"/>
          <w:i w:val="false"/>
          <w:caps w:val="false"/>
          <w:smallCaps w:val="false"/>
          <w:sz w:val="20"/>
          <w:u w:val="single"/>
        </w:rPr>
        <w:t>Section 12.3(b)</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or any Affiliate thereof, (b) any Defaulting Lender or any of its Subsidiaries or any Person who, upon becoming a Lender hereunder, would constitute any of the foregoing Persons described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(c) a natural person, (d) any Person who is primarily engaged in the business of providing pawn services and products and/or cash advance services and products or (e) a company, investment vehicle or trust for, or owned and operated for the primary benefit of, a natural person or relative(s)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company, investment vehicle or trust shall not constitute an Ineligible Institution if it (i) has not been established for the primary purpose of acquiring any Loans or Commitments, (ii) is managed by a professional advisor, who is not such natural person or a relative thereof, having significant experience in the business of making or purchasing commercial loans, and (iii) has assets greater than $25,000,000 and a significant part of its activities consist of making or purchasing commercial loans and similar extensions of credit in the ordinary course of its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 Default, any Person (other than a Lender) shall be an Ineligible Institution if after giving effect to any proposed assignment to such Person, such Person would hold more than 25% of the then outstanding funded and/or unfunded Commitment,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(iii)         Subject to acceptance and recording thereof pursuant to </w:t>
      </w:r>
      <w:r>
        <w:rPr>
          <w:rFonts w:ascii="Times New Roman;Times;Serif" w:hAnsi="Times New Roman;Times;Serif"/>
          <w:b w:val="false"/>
          <w:i w:val="false"/>
          <w:caps w:val="false"/>
          <w:smallCaps w:val="false"/>
          <w:sz w:val="20"/>
          <w:u w:val="single"/>
        </w:rPr>
        <w:t>paragraph (b)(iv)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from and after the effective date specified in each Assignment and Assumption, the assignee thereunder shall be a party hereto and, to the extent of the interest assigned by such Assignment and Assumption, have the rights and obligations of a Lender </w:t>
      </w:r>
      <w:r>
        <w:rPr>
          <w:rFonts w:ascii="Times New Roman;Times;Serif" w:hAnsi="Times New Roman;Times;Serif"/>
          <w:b w:val="false"/>
          <w:i w:val="false"/>
          <w:caps w:val="false"/>
          <w:smallCaps w:val="false"/>
          <w:color w:val="0000FF"/>
          <w:sz w:val="20"/>
          <w:u w:val="single"/>
        </w:rPr>
        <w:t xml:space="preserve">or, if applicable, an Alternative Currency Lender </w:t>
      </w:r>
      <w:r>
        <w:rPr>
          <w:rFonts w:ascii="Times New Roman;Times;Serif" w:hAnsi="Times New Roman;Times;Serif"/>
          <w:b w:val="false"/>
          <w:i w:val="false"/>
          <w:caps w:val="false"/>
          <w:smallCaps w:val="false"/>
          <w:sz w:val="20"/>
        </w:rPr>
        <w:t>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w:t>
      </w:r>
      <w:r>
        <w:rPr>
          <w:rFonts w:ascii="Times New Roman;Times;Serif" w:hAnsi="Times New Roman;Times;Serif"/>
          <w:b w:val="false"/>
          <w:i w:val="false"/>
          <w:caps w:val="false"/>
          <w:smallCaps w:val="false"/>
          <w:color w:val="0000FF"/>
          <w:sz w:val="20"/>
          <w:u w:val="single"/>
        </w:rPr>
        <w:t>, including all of its Alternative Currency Commitment and Alternative Currency Loans if it is an Alternative Currency Lender</w:t>
      </w:r>
      <w:r>
        <w:rPr>
          <w:rFonts w:ascii="Times New Roman;Times;Serif" w:hAnsi="Times New Roman;Times;Serif"/>
          <w:b w:val="false"/>
          <w:i w:val="false"/>
          <w:caps w:val="false"/>
          <w:smallCaps w:val="false"/>
          <w:sz w:val="20"/>
        </w:rPr>
        <w:t xml:space="preserve">,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9.6</w:t>
      </w:r>
      <w:r>
        <w:rPr>
          <w:rFonts w:ascii="Times New Roman;Times;Serif" w:hAnsi="Times New Roman;Times;Serif"/>
          <w:b w:val="false"/>
          <w:i w:val="false"/>
          <w:caps w:val="false"/>
          <w:smallCaps w:val="false"/>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(iv)        The Agent, acting for this purpose as an agent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shall maintain at one of its offices a copy of each Assignment and Assumption delivered to it and a register for the recordation of the names and addresses of the Lenders,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the Commitment </w:t>
      </w:r>
      <w:r>
        <w:rPr>
          <w:rFonts w:ascii="Times New Roman;Times;Serif" w:hAnsi="Times New Roman;Times;Serif"/>
          <w:b w:val="false"/>
          <w:i w:val="false"/>
          <w:caps w:val="false"/>
          <w:smallCaps w:val="false"/>
          <w:color w:val="0000FF"/>
          <w:sz w:val="20"/>
          <w:u w:val="single"/>
        </w:rPr>
        <w:t xml:space="preserve">of, Incremental Term Loan Commitment of, Alternative Currency Commitment of, Pro Rata Share of, Alternative Currency Pro Rata Share </w:t>
      </w:r>
      <w:r>
        <w:rPr>
          <w:rFonts w:ascii="Times New Roman;Times;Serif" w:hAnsi="Times New Roman;Times;Serif"/>
          <w:b w:val="false"/>
          <w:i w:val="false"/>
          <w:caps w:val="false"/>
          <w:smallCaps w:val="false"/>
          <w:sz w:val="20"/>
        </w:rPr>
        <w:t>of, and principal amount of the Loans</w:t>
      </w:r>
      <w:r>
        <w:rPr>
          <w:rFonts w:ascii="Times New Roman;Times;Serif" w:hAnsi="Times New Roman;Times;Serif"/>
          <w:b w:val="false"/>
          <w:i w:val="false"/>
          <w:caps w:val="false"/>
          <w:smallCaps w:val="false"/>
          <w:color w:val="0000FF"/>
          <w:sz w:val="20"/>
          <w:u w:val="single"/>
        </w:rPr>
        <w:t>, Incremental Term Loans, Alternative Currency Loans, Swingline Loans, Swingline Participation Amounts</w:t>
      </w:r>
      <w:r>
        <w:rPr>
          <w:rFonts w:ascii="Times New Roman;Times;Serif" w:hAnsi="Times New Roman;Times;Serif"/>
          <w:b w:val="false"/>
          <w:i w:val="false"/>
          <w:caps w:val="false"/>
          <w:smallCaps w:val="false"/>
          <w:sz w:val="20"/>
        </w:rPr>
        <w:t xml:space="preserve"> and L/C Advances owing to, each Lender </w:t>
      </w:r>
      <w:r>
        <w:rPr>
          <w:rFonts w:ascii="Times New Roman;Times;Serif" w:hAnsi="Times New Roman;Times;Serif"/>
          <w:b w:val="false"/>
          <w:i w:val="false"/>
          <w:caps w:val="false"/>
          <w:smallCaps w:val="false"/>
          <w:color w:val="0000FF"/>
          <w:sz w:val="20"/>
          <w:u w:val="single"/>
        </w:rPr>
        <w:t xml:space="preserve">or Alternative Currency Lender, as applicable, </w:t>
      </w:r>
      <w:r>
        <w:rPr>
          <w:rFonts w:ascii="Times New Roman;Times;Serif" w:hAnsi="Times New Roman;Times;Serif"/>
          <w:b w:val="false"/>
          <w:i w:val="false"/>
          <w:caps w:val="false"/>
          <w:smallCaps w:val="false"/>
          <w:sz w:val="20"/>
        </w:rPr>
        <w:t>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The entries in the Register shall be conclusive,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the Agent,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the Lenders shall treat each Person whose name is recorded in the Register pursuant to the terms hereof as a Lender </w:t>
      </w:r>
      <w:r>
        <w:rPr>
          <w:rFonts w:ascii="Times New Roman;Times;Serif" w:hAnsi="Times New Roman;Times;Serif"/>
          <w:b w:val="false"/>
          <w:i w:val="false"/>
          <w:caps w:val="false"/>
          <w:smallCaps w:val="false"/>
          <w:color w:val="0000FF"/>
          <w:sz w:val="20"/>
          <w:u w:val="single"/>
        </w:rPr>
        <w:t xml:space="preserve">or Alternative Currency Lender, as applicable, </w:t>
      </w:r>
      <w:r>
        <w:rPr>
          <w:rFonts w:ascii="Times New Roman;Times;Serif" w:hAnsi="Times New Roman;Times;Serif"/>
          <w:b w:val="false"/>
          <w:i w:val="false"/>
          <w:caps w:val="false"/>
          <w:smallCaps w:val="false"/>
          <w:sz w:val="20"/>
        </w:rPr>
        <w:t xml:space="preserve">hereunder for all purposes of this Agreement, notwithstanding notice to the contrary. The Register shall be available for inspection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the L/C Issuer</w:t>
      </w:r>
      <w:r>
        <w:rPr>
          <w:rFonts w:ascii="Times New Roman;Times;Serif" w:hAnsi="Times New Roman;Times;Serif"/>
          <w:b w:val="false"/>
          <w:i w:val="false"/>
          <w:caps w:val="false"/>
          <w:smallCaps w:val="false"/>
          <w:color w:val="0000FF"/>
          <w:sz w:val="20"/>
          <w:u w:val="single"/>
        </w:rPr>
        <w:t>, the Swingline Lender</w:t>
      </w:r>
      <w:r>
        <w:rPr>
          <w:rFonts w:ascii="Times New Roman;Times;Serif" w:hAnsi="Times New Roman;Times;Serif"/>
          <w:b w:val="false"/>
          <w:i w:val="false"/>
          <w:caps w:val="false"/>
          <w:smallCaps w:val="false"/>
          <w:sz w:val="20"/>
        </w:rPr>
        <w:t xml:space="preserve"> and any Lender, at any reasonable time and from time to time upon reasonable prior notice. In addition, the Agent shall maintain on the Register information regarding the designation and revocation of designation, of any Lender as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and any written consent to such assignment required by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the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assigning Lender or the assignee shall have failed to make any payment required to be made by it pursuant to this Agreement, the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(c)           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Dissemination of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authorizes each Lender to disclose to any Participant or purchaser or any other Person acquiring an interest in the Loan Documents by operation of law (each a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xml:space="preserve">”) and any prospective Transferee any and all information in such Lender’s possession concerning the creditworthiness of the Loan Parties and their Subsidiaries, including without limitation any information contained in any Reports;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Transferee and prospective Transferee agrees to be bound by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Except as otherwise permitted by Section 2.14 with respect to borrowing notices, all notices, requests and other communications to any party hereunder shall be in writing (including electronic transmission, facsimile transmission or similar writing) and shall be given to such party: </w:t>
      </w:r>
      <w:r>
        <w:rPr>
          <w:rFonts w:ascii="Times New Roman;Times;Serif" w:hAnsi="Times New Roman;Times;Serif"/>
          <w:b w:val="false"/>
          <w:i w:val="false"/>
          <w:caps w:val="false"/>
          <w:smallCaps w:val="false"/>
          <w:strike/>
          <w:color w:val="FF0000"/>
          <w:sz w:val="20"/>
        </w:rPr>
        <w:t>(a) in the case of the Borrower or the Agent, at its address or facsimile number set forth on the signature pages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in the case of the Borrowers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color w:val="0000FF"/>
          <w:u w:val="single"/>
        </w:rPr>
      </w:pPr>
      <w:r>
        <w:rPr>
          <w:caps w:val="false"/>
          <w:smallCaps w:val="false"/>
          <w:color w:val="0000FF"/>
          <w:u w:val="single"/>
        </w:rPr>
        <w:t> </w:t>
      </w:r>
      <w:r>
        <w:rPr>
          <w:rFonts w:ascii="Times New Roman;Times;Serif" w:hAnsi="Times New Roman;Times;Serif"/>
          <w:b w:val="false"/>
          <w:i w:val="false"/>
          <w:caps w:val="false"/>
          <w:smallCaps w:val="false"/>
          <w:color w:val="0000FF"/>
          <w:sz w:val="20"/>
          <w:u w:val="single"/>
        </w:rPr>
        <w:t>FirstCash, Inc. </w:t>
      </w:r>
    </w:p>
    <w:p>
      <w:pPr>
        <w:pStyle w:val="TextBody"/>
        <w:bidi w:val="0"/>
        <w:spacing w:before="0" w:after="0"/>
        <w:ind w:left="1440" w:right="0" w:firstLine="720"/>
        <w:jc w:val="left"/>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1600 West 7th Street </w:t>
      </w:r>
    </w:p>
    <w:p>
      <w:pPr>
        <w:pStyle w:val="TextBody"/>
        <w:bidi w:val="0"/>
        <w:spacing w:before="0" w:after="0"/>
        <w:ind w:left="1440" w:right="0" w:firstLine="720"/>
        <w:jc w:val="left"/>
        <w:rPr>
          <w:caps w:val="false"/>
          <w:smallCaps w:val="false"/>
          <w:color w:val="0000FF"/>
          <w:u w:val="single"/>
        </w:rPr>
      </w:pPr>
      <w:r>
        <w:rPr>
          <w:caps w:val="false"/>
          <w:smallCaps w:val="false"/>
          <w:color w:val="0000FF"/>
          <w:u w:val="single"/>
        </w:rPr>
        <w:t> </w:t>
      </w:r>
      <w:r>
        <w:rPr>
          <w:rFonts w:ascii="Times New Roman;Times;Serif" w:hAnsi="Times New Roman;Times;Serif"/>
          <w:b w:val="false"/>
          <w:i w:val="false"/>
          <w:caps w:val="false"/>
          <w:smallCaps w:val="false"/>
          <w:color w:val="0000FF"/>
          <w:sz w:val="20"/>
          <w:u w:val="single"/>
        </w:rPr>
        <w:t>Fort Worth, Texas 76102 </w:t>
      </w:r>
    </w:p>
    <w:p>
      <w:pPr>
        <w:pStyle w:val="TextBody"/>
        <w:bidi w:val="0"/>
        <w:spacing w:before="0" w:after="0"/>
        <w:ind w:left="1440" w:right="0" w:firstLine="720"/>
        <w:jc w:val="left"/>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Attention: Rick Wessel and Doug Orr </w:t>
      </w:r>
    </w:p>
    <w:p>
      <w:pPr>
        <w:pStyle w:val="TextBody"/>
        <w:bidi w:val="0"/>
        <w:spacing w:before="0" w:after="0"/>
        <w:ind w:left="1440" w:right="0" w:firstLine="720"/>
        <w:jc w:val="left"/>
        <w:rPr>
          <w:caps w:val="false"/>
          <w:smallCaps w:val="false"/>
          <w:color w:val="0000FF"/>
        </w:rPr>
      </w:pPr>
      <w:r>
        <w:rPr>
          <w:caps w:val="false"/>
          <w:smallCaps w:val="false"/>
          <w:color w:val="0000FF"/>
        </w:rPr>
        <w:t> </w:t>
      </w:r>
      <w:r>
        <w:rPr>
          <w:rFonts w:ascii="Times New Roman;Times;Serif" w:hAnsi="Times New Roman;Times;Serif"/>
          <w:b w:val="false"/>
          <w:i w:val="false"/>
          <w:caps w:val="false"/>
          <w:smallCaps w:val="false"/>
          <w:color w:val="0000FF"/>
          <w:sz w:val="20"/>
          <w:u w:val="single"/>
        </w:rPr>
        <w:t>Email: *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Alston &amp; Bird LLP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1201 W Peachtree St NW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Atlanta, GA 30309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Attention: Kyle Healy and Paul Hespel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E-mail: * and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in the case of the Agent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Wells Fargo Bank, National Association </w:t>
      </w:r>
    </w:p>
    <w:p>
      <w:pPr>
        <w:pStyle w:val="TextBody"/>
        <w:bidi w:val="0"/>
        <w:spacing w:before="0" w:after="0"/>
        <w:ind w:left="0" w:right="0" w:firstLine="216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1525 W W.T. Harris Blvd, 1</w:t>
      </w:r>
      <w:r>
        <w:rPr>
          <w:rFonts w:ascii="Times New Roman;Times;Serif" w:hAnsi="Times New Roman;Times;Serif"/>
          <w:b w:val="false"/>
          <w:i w:val="false"/>
          <w:caps w:val="false"/>
          <w:smallCaps w:val="false"/>
          <w:color w:val="0000FF"/>
          <w:position w:val="7"/>
          <w:sz w:val="16"/>
          <w:sz w:val="20"/>
          <w:u w:val="single"/>
        </w:rPr>
        <w:t>st</w:t>
      </w:r>
      <w:r>
        <w:rPr>
          <w:rFonts w:ascii="Times New Roman;Times;Serif" w:hAnsi="Times New Roman;Times;Serif"/>
          <w:b w:val="false"/>
          <w:i w:val="false"/>
          <w:caps w:val="false"/>
          <w:smallCaps w:val="false"/>
          <w:color w:val="0000FF"/>
          <w:sz w:val="20"/>
          <w:u w:val="single"/>
        </w:rPr>
        <w:t xml:space="preserve"> Floor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Charlotte, North Carolina 28262 8522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Attention: Adam Hyder</w:t>
      </w:r>
      <w:r>
        <w:rPr>
          <w:rFonts w:ascii="Times New Roman;Times;Serif" w:hAnsi="Times New Roman;Times;Serif"/>
          <w:b w:val="false"/>
          <w:i w:val="false"/>
          <w:caps w:val="false"/>
          <w:smallCaps w:val="false"/>
          <w:color w:val="0000FF"/>
          <w:sz w:val="20"/>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King &amp; Spalding LLP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1290 Avenue of the Americas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New York, New York 10104</w:t>
      </w:r>
      <w:r>
        <w:rPr>
          <w:rFonts w:ascii="Times New Roman;Times;Serif" w:hAnsi="Times New Roman;Times;Serif"/>
          <w:b w:val="false"/>
          <w:i w:val="false"/>
          <w:caps w:val="false"/>
          <w:smallCaps w:val="false"/>
          <w:color w:val="0000FF"/>
          <w:sz w:val="20"/>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Attention: Marisa A. Sotomayor </w:t>
      </w:r>
    </w:p>
    <w:p>
      <w:pPr>
        <w:pStyle w:val="TextBody"/>
        <w:bidi w:val="0"/>
        <w:spacing w:before="0" w:after="0"/>
        <w:ind w:left="144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in the case of any Lender, at its address or facsimile number set forth below its signature 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xml:space="preserve">)          in the case of any party, at such other address or facsimile number as such party may hereafter specify for the purpose by notice to the Agent and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 accordance with the provisions of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such notice, request or other communication shall be effective (i) if given by facsimile </w:t>
      </w:r>
      <w:r>
        <w:rPr>
          <w:rFonts w:ascii="Times New Roman;Times;Serif" w:hAnsi="Times New Roman;Times;Serif"/>
          <w:b w:val="false"/>
          <w:i w:val="false"/>
          <w:caps w:val="false"/>
          <w:smallCaps w:val="false"/>
          <w:strike/>
          <w:color w:val="FF0000"/>
          <w:sz w:val="20"/>
        </w:rPr>
        <w:t>transmission</w:t>
      </w:r>
      <w:r>
        <w:rPr>
          <w:rFonts w:ascii="Times New Roman;Times;Serif" w:hAnsi="Times New Roman;Times;Serif"/>
          <w:b w:val="false"/>
          <w:i w:val="false"/>
          <w:caps w:val="false"/>
          <w:smallCaps w:val="false"/>
          <w:sz w:val="20"/>
        </w:rPr>
        <w:t xml:space="preserve">, when transmitted to the facsimile number specified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and confirmation of receipt is received, (ii) if given by mail </w:t>
      </w:r>
      <w:r>
        <w:rPr>
          <w:rFonts w:ascii="Times New Roman;Times;Serif" w:hAnsi="Times New Roman;Times;Serif"/>
          <w:b w:val="false"/>
          <w:i w:val="false"/>
          <w:caps w:val="false"/>
          <w:smallCaps w:val="false"/>
          <w:color w:val="0000FF"/>
          <w:sz w:val="20"/>
          <w:u w:val="single"/>
        </w:rPr>
        <w:t>(excluding e-mail)</w:t>
      </w:r>
      <w:r>
        <w:rPr>
          <w:rFonts w:ascii="Times New Roman;Times;Serif" w:hAnsi="Times New Roman;Times;Serif"/>
          <w:b w:val="false"/>
          <w:i w:val="false"/>
          <w:caps w:val="false"/>
          <w:smallCaps w:val="false"/>
          <w:sz w:val="20"/>
        </w:rPr>
        <w:t xml:space="preserve">, 72 hours after such communication is deposited in the mails with first class postage prepaid, addressed as aforesaid, or (iii) if given by any other means </w:t>
      </w:r>
      <w:r>
        <w:rPr>
          <w:rFonts w:ascii="Times New Roman;Times;Serif" w:hAnsi="Times New Roman;Times;Serif"/>
          <w:b w:val="false"/>
          <w:i w:val="false"/>
          <w:caps w:val="false"/>
          <w:smallCaps w:val="false"/>
          <w:color w:val="0000FF"/>
          <w:sz w:val="20"/>
          <w:u w:val="single"/>
        </w:rPr>
        <w:t>(including e-mail)</w:t>
      </w:r>
      <w:r>
        <w:rPr>
          <w:rFonts w:ascii="Times New Roman;Times;Serif" w:hAnsi="Times New Roman;Times;Serif"/>
          <w:b w:val="false"/>
          <w:i w:val="false"/>
          <w:caps w:val="false"/>
          <w:smallCaps w:val="false"/>
          <w:sz w:val="20"/>
        </w:rPr>
        <w:t xml:space="preserve">, when delivered (or, in the case of </w:t>
      </w:r>
      <w:r>
        <w:rPr>
          <w:rFonts w:ascii="Times New Roman;Times;Serif" w:hAnsi="Times New Roman;Times;Serif"/>
          <w:b w:val="false"/>
          <w:i w:val="false"/>
          <w:caps w:val="false"/>
          <w:smallCaps w:val="false"/>
          <w:strike/>
          <w:color w:val="FF0000"/>
          <w:sz w:val="20"/>
        </w:rPr>
        <w:t>electronic transmission</w:t>
      </w:r>
      <w:r>
        <w:rPr>
          <w:rFonts w:ascii="Times New Roman;Times;Serif" w:hAnsi="Times New Roman;Times;Serif"/>
          <w:b w:val="false"/>
          <w:i w:val="false"/>
          <w:caps w:val="false"/>
          <w:smallCaps w:val="false"/>
          <w:color w:val="0000FF"/>
          <w:sz w:val="20"/>
          <w:u w:val="single"/>
        </w:rPr>
        <w:t>e-mail</w:t>
      </w:r>
      <w:r>
        <w:rPr>
          <w:rFonts w:ascii="Times New Roman;Times;Serif" w:hAnsi="Times New Roman;Times;Serif"/>
          <w:b w:val="false"/>
          <w:i w:val="false"/>
          <w:caps w:val="false"/>
          <w:smallCaps w:val="false"/>
          <w:sz w:val="20"/>
        </w:rPr>
        <w:t xml:space="preserve">, received) at the address specified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val="false"/>
          <w:i w:val="false"/>
          <w:caps w:val="false"/>
          <w:smallCaps w:val="false"/>
          <w:color w:val="0000FF"/>
          <w:sz w:val="20"/>
          <w:u w:val="single"/>
        </w:rPr>
        <w:t>, notwithstanding the foregoing,</w:t>
      </w:r>
      <w:r>
        <w:rPr>
          <w:rFonts w:ascii="Times New Roman;Times;Serif" w:hAnsi="Times New Roman;Times;Serif"/>
          <w:b w:val="false"/>
          <w:i w:val="false"/>
          <w:caps w:val="false"/>
          <w:smallCaps w:val="false"/>
          <w:sz w:val="20"/>
        </w:rPr>
        <w:t xml:space="preserve"> notices to the Agent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not be effective until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Change of Address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Agent and any Lender may each change the address for service of notice upon it by a notice in writing </w:t>
      </w:r>
      <w:r>
        <w:rPr>
          <w:rFonts w:ascii="Times New Roman;Times;Serif" w:hAnsi="Times New Roman;Times;Serif"/>
          <w:b w:val="false"/>
          <w:i w:val="false"/>
          <w:caps w:val="false"/>
          <w:smallCaps w:val="false"/>
          <w:color w:val="0000FF"/>
          <w:sz w:val="20"/>
          <w:u w:val="single"/>
        </w:rPr>
        <w:t xml:space="preserve">(including by e-mail) </w:t>
      </w:r>
      <w:r>
        <w:rPr>
          <w:rFonts w:ascii="Times New Roman;Times;Serif" w:hAnsi="Times New Roman;Times;Serif"/>
          <w:b w:val="false"/>
          <w:i w:val="false"/>
          <w:caps w:val="false"/>
          <w:smallCaps w:val="false"/>
          <w:sz w:val="20"/>
        </w:rPr>
        <w:t>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may be executed in any number of counterparts, all of which taken together shall constitute one agreement, and any of the parties hereto may execute this Agreement by signing any such counterpart. This Agreement shall be effective when it has been executed by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the Agent and the Lenders and each party has notified the Agent </w:t>
      </w:r>
      <w:r>
        <w:rPr>
          <w:rFonts w:ascii="Times New Roman;Times;Serif" w:hAnsi="Times New Roman;Times;Serif"/>
          <w:b w:val="false"/>
          <w:i w:val="false"/>
          <w:caps w:val="false"/>
          <w:smallCaps w:val="false"/>
          <w:strike/>
          <w:color w:val="FF0000"/>
          <w:sz w:val="20"/>
        </w:rPr>
        <w:t>by facsimile transmission or telephone</w:t>
      </w:r>
      <w:r>
        <w:rPr>
          <w:rFonts w:ascii="Times New Roman;Times;Serif" w:hAnsi="Times New Roman;Times;Serif"/>
          <w:b w:val="false"/>
          <w:i w:val="false"/>
          <w:caps w:val="false"/>
          <w:smallCaps w:val="false"/>
          <w:color w:val="0000FF"/>
          <w:sz w:val="20"/>
          <w:u w:val="single"/>
        </w:rPr>
        <w:t>in writing (including by e-mail)</w:t>
      </w:r>
      <w:r>
        <w:rPr>
          <w:rFonts w:ascii="Times New Roman;Times;Serif" w:hAnsi="Times New Roman;Times;Serif"/>
          <w:b w:val="false"/>
          <w:i w:val="false"/>
          <w:caps w:val="false"/>
          <w:smallCaps w:val="false"/>
          <w:sz w:val="20"/>
        </w:rPr>
        <w:t xml:space="preserve"> that it has taken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CHOICE OF LAW; CONSENT TO JURISDICTION;</w:t>
        <w:br/>
        <w:t>WAIVER OF JURY TRIAL; MAXIMUM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LOAN DOCUMENTS (OTHER THAN THOSE CONTAINING A CONTRARY EXPRESS CHOICE OF LAW PROVISION) SHALL BE CONSTRUED IN ACCORDANCE WITH THE INTERNAL LAWS (WITHOUT REGARD TO THE CONFLICT OF LAWS PROVISIONS) OF THE STATE OF TEXAS, BUT GIVING EFFECT TO FEDERAL LAWS APPLICABLE TO NATIONAL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w:t>
      </w:r>
      <w:r>
        <w:rPr>
          <w:rFonts w:ascii="Times New Roman;Times;Serif" w:hAnsi="Times New Roman;Times;Serif"/>
          <w:b w:val="false"/>
          <w:i w:val="false"/>
          <w:caps w:val="false"/>
          <w:smallCaps w:val="false"/>
          <w:color w:val="0000FF"/>
          <w:sz w:val="20"/>
          <w:u w:val="single"/>
        </w:rPr>
        <w:t xml:space="preserve">AND EACH OTHER LOAN PARTY </w:t>
      </w:r>
      <w:r>
        <w:rPr>
          <w:rFonts w:ascii="Times New Roman;Times;Serif" w:hAnsi="Times New Roman;Times;Serif"/>
          <w:b w:val="false"/>
          <w:i w:val="false"/>
          <w:caps w:val="false"/>
          <w:smallCaps w:val="false"/>
          <w:sz w:val="20"/>
        </w:rPr>
        <w:t xml:space="preserve">HEREBY IRREVOCABLY SUBMITS TO THE </w:t>
      </w:r>
      <w:r>
        <w:rPr>
          <w:rFonts w:ascii="Times New Roman;Times;Serif" w:hAnsi="Times New Roman;Times;Serif"/>
          <w:b w:val="false"/>
          <w:i w:val="false"/>
          <w:caps w:val="false"/>
          <w:smallCaps w:val="false"/>
          <w:strike/>
          <w:color w:val="FF0000"/>
          <w:sz w:val="20"/>
        </w:rPr>
        <w:t>NON-EXCLUSIVE</w:t>
      </w:r>
      <w:r>
        <w:rPr>
          <w:rFonts w:ascii="Times New Roman;Times;Serif" w:hAnsi="Times New Roman;Times;Serif"/>
          <w:b w:val="false"/>
          <w:i w:val="false"/>
          <w:caps w:val="false"/>
          <w:smallCaps w:val="false"/>
          <w:color w:val="0000FF"/>
          <w:sz w:val="20"/>
          <w:u w:val="single"/>
        </w:rPr>
        <w:t>NONEXCLUSIVE</w:t>
      </w:r>
      <w:r>
        <w:rPr>
          <w:rFonts w:ascii="Times New Roman;Times;Serif" w:hAnsi="Times New Roman;Times;Serif"/>
          <w:b w:val="false"/>
          <w:i w:val="false"/>
          <w:caps w:val="false"/>
          <w:smallCaps w:val="false"/>
          <w:sz w:val="20"/>
        </w:rPr>
        <w:t xml:space="preserve"> JURISDICTION OF ANY UNITED STATES FEDERAL OR TEXAS STATE COURT SITTING IN FORT WORTH, TEXAS IN ANY ACTION OR PROCEEDING ARISING OUT OF OR RELATING TO ANY LOAN DOCUMENTS AND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BORROWER </w:t>
      </w:r>
      <w:r>
        <w:rPr>
          <w:rFonts w:ascii="Times New Roman;Times;Serif" w:hAnsi="Times New Roman;Times;Serif"/>
          <w:b w:val="false"/>
          <w:i w:val="false"/>
          <w:caps w:val="false"/>
          <w:smallCaps w:val="false"/>
          <w:color w:val="0000FF"/>
          <w:sz w:val="20"/>
          <w:u w:val="single"/>
        </w:rPr>
        <w:t xml:space="preserve">AND EACH OTHER LOAN PARTY </w:t>
      </w:r>
      <w:r>
        <w:rPr>
          <w:rFonts w:ascii="Times New Roman;Times;Serif" w:hAnsi="Times New Roman;Times;Serif"/>
          <w:b w:val="false"/>
          <w:i w:val="false"/>
          <w:caps w:val="false"/>
          <w:smallCaps w:val="false"/>
          <w:sz w:val="20"/>
        </w:rPr>
        <w:t xml:space="preserve">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 OR ANY LENDER TO BRING PROCEEDINGS AGAINST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w:t>
      </w:r>
      <w:r>
        <w:rPr>
          <w:rFonts w:ascii="Times New Roman;Times;Serif" w:hAnsi="Times New Roman;Times;Serif"/>
          <w:b w:val="false"/>
          <w:i w:val="false"/>
          <w:caps w:val="false"/>
          <w:smallCaps w:val="false"/>
          <w:color w:val="0000FF"/>
          <w:sz w:val="20"/>
          <w:u w:val="single"/>
        </w:rPr>
        <w:t xml:space="preserve">OR ANY OTHER LOAN PARTY </w:t>
      </w:r>
      <w:r>
        <w:rPr>
          <w:rFonts w:ascii="Times New Roman;Times;Serif" w:hAnsi="Times New Roman;Times;Serif"/>
          <w:b w:val="false"/>
          <w:i w:val="false"/>
          <w:caps w:val="false"/>
          <w:smallCaps w:val="false"/>
          <w:sz w:val="20"/>
        </w:rPr>
        <w:t xml:space="preserve">IN THE COURTS OF ANY OTHER JURISDICTION. ANY JUDICIAL PROCEEDING BY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BORROWER </w:t>
      </w:r>
      <w:r>
        <w:rPr>
          <w:rFonts w:ascii="Times New Roman;Times;Serif" w:hAnsi="Times New Roman;Times;Serif"/>
          <w:b w:val="false"/>
          <w:i w:val="false"/>
          <w:caps w:val="false"/>
          <w:smallCaps w:val="false"/>
          <w:color w:val="0000FF"/>
          <w:sz w:val="20"/>
          <w:u w:val="single"/>
        </w:rPr>
        <w:t xml:space="preserve">OR ANY OTHER LOAN PARTY </w:t>
      </w:r>
      <w:r>
        <w:rPr>
          <w:rFonts w:ascii="Times New Roman;Times;Serif" w:hAnsi="Times New Roman;Times;Serif"/>
          <w:b w:val="false"/>
          <w:i w:val="false"/>
          <w:caps w:val="false"/>
          <w:smallCaps w:val="false"/>
          <w:sz w:val="20"/>
        </w:rPr>
        <w:t xml:space="preserve">AGAINST THE AGENT OR ANY LENDER OR ANY AFFILIATE OF THE AGENT OR ANY LENDER INVOLVING, DIRECTLY OR INDIRECTLY, ANY MATTER IN ANY WAY ARISING OUT OF, RELATED TO, OR CONNECTED WITH ANY LOAN DOCUMENT SHALL BE BROUGHT ONLY IN A COURT IN FORT WORTH, TARRANT COUNTY, TEXAS. </w:t>
      </w:r>
      <w:r>
        <w:rPr>
          <w:rFonts w:ascii="Times New Roman;Times;Serif" w:hAnsi="Times New Roman;Times;Serif"/>
          <w:b w:val="false"/>
          <w:i w:val="false"/>
          <w:caps w:val="false"/>
          <w:smallCaps w:val="false"/>
          <w:color w:val="0000FF"/>
          <w:sz w:val="20"/>
          <w:u w:val="single"/>
        </w:rPr>
        <w:t>EACH FOREIGN LOAN PARTY IRREVOCABLY WAIVES, TO THE FULLEST EXTENT PERMITTED BY APPLICABLE LAW, ANY OBJECTION THAT IT MAY NOW OR HEREAFTER HAVE TO SERVICE OF PROCESS IN THE MANNER PROVIDED FOR NOTICES IN ARTICLE XIII, AND AGREES THAT NOTHING HEREIN SHALL AFFECT THE RIGHT OF THE AGENT OR ANY LENDER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THIS AGREEMENT AND ALL OF THE OTHER LOAN DOCUMENTS ARE INTENDED TO BE PERFORMED IN ACCORDANCE WITH, AND ONLY TO THE EXTENT PERMITTED BY, ALL APPLICABLE USURY LAWS. IF ANY PROVISION HEREOF OR OF ANY OF THE OTHER LOAN DOCUMENTS OR THE APPLICATION THEREOF TO ANY PERSON OR CIRCUMSTANCE SHALL, FOR ANY REASON AND TO ANY EXTENT, BE INVALID OR UNENFORCEABLE, NEITHER THE APPLICATION OF SUCH PROVISION TO ANY OTHER PERSON OR CIRCUMSTANCE NOR THE REMAINDER OF THE INSTRUMENT IN WHICH SUCH PROVISION IS CONTAINED SHALL BE AFFECTED THEREBY AND SHALL BE ENFORCED TO THE GREATEST EXTENT PERMITTED BY APPLICABLE LAWS. IT IS EXPRESSLY STIPULATED AND AGREED TO BE THE INTENT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AGENT AND THE LENDERS TO AT ALL TIMES COMPLY WITH THE USURY AND OTHER APPLICABLE LAWS NOW OR HEREAFTER GOVERNING THE INTEREST PAYABLE ON THE OBLIGATIONS. IF THE APPLICABLE LAW IS EVER REVISED, REPEALED OR JUDICIALLY INTERPRETED SO AS TO RENDER USURIOUS ANY AMOUNT CALLED FOR UNDER THIS AGREEMENT OR UNDER ANY OF THE OTHER LOAN DOCUMENTS, OR CONTRACTED FOR, CHARGED, TAKEN, RESERVED OR RECEIVED WITH RESPECT TO THE OBLIGATIONS, OR IF THE AGENT’S OR THE LENDERS’ EXERCISE OF THE OPTION TO ACCELERATE THE MATURITY OF ANY NOTE, OR IF ANY PREPAYMENT OF ANY NOTE RESULTS IN THE PAYMENT OF ANY INTEREST IN EXCESS OF THAT PERMITTED BY LAW, THEN IT IS THE EXPRESS INTENT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AND THE APPLICABLE LENDER THAT ALL EXCESS AMOUNTS THERETOFORE COLLECTED BY THE LENDER BE CREDITED ON THE PRINCIPAL BALANCE OF THE NOTE (OR, IF THE NOTES AND ALL OF THE OBLIGATIONS HAVE BEEN PAID IN FULL, REFUNDED), AND THE PROVISIONS OF THE NOTES AND THE OTHER LOAN DOCUMENTS IMMEDIATELY BE DEEMED REFORMED AND THE AMOUNTS THEREAFTER COLLECTABLE HEREUNDER AND THEREUNDER REDUCED, WITHOUT THE NECESSITY OF THE EXECUTION OF ANY NEW DOCUMENT, SO AS TO COMPLY WITH THE THEN APPLICABLE LAWS, BUT SO AS TO PERMIT THE RECOVERY OF THE FULLEST AMOUNT OTHERWISE CALLED FOR HEREUNDER OR THEREUNDER. ALL SUMS PAID, OR AGREED TO BE PAID, FOR THE USE, FORBEARANCE, DETENTION, TAKING, CHARGING, RECEIVING OR RESERVING ON THE OBLIGATIONS SHALL, TO THE EXTENT PERMITTED BY APPLICABLE LAWS, BE AMORTIZED, PRORATED, ALLOCATED AND SPREAD THROUGHOUT THE FULL TERM OF SUCH OBLIGATIONS UNTIL PAYMENT IN FULL SO THAT THE RATE OR AMOUNT OF INTEREST ON ACCOUNT OF SUCH OBLIGATIONS DOES NOT EXCEED THE USURY CEILING FROM TIME TO TIME IN EFFECT AND APPLICABLE THERETO FOR SO LONG AS DEBT IS OUTSTANDING UNDER THE NOTES. TO THE EXTENT THAT THE AGENT AND THE LENDERS ARE RELYING ON CHAPTER 303 OF THE TEXAS FINANCE CODE TO DETERMINE THE MAXIMUM RATE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PAYABLE ON THE NOTES, THE AGENT AND THE LENDERS WILL UTILIZE THE WEEKLY CEILING FROM TIME TO TIME IN EFFECT AS PROVIDED IN SUCH CHAPTER 303. TO THE EXTENT FEDERAL LAW PERMITS THE AGENT AND THE LENDERS TO CONTRACT FOR, CHARGE OR RECEIVE A GREATER AMOUNT OF INTEREST, </w:t>
      </w:r>
      <w:r>
        <w:rPr>
          <w:rFonts w:ascii="Times New Roman;Times;Serif" w:hAnsi="Times New Roman;Times;Serif"/>
          <w:b w:val="false"/>
          <w:i w:val="false"/>
          <w:caps w:val="false"/>
          <w:smallCaps w:val="false"/>
          <w:strike/>
          <w:color w:val="FF0000"/>
          <w:sz w:val="20"/>
        </w:rPr>
        <w:t>BANK</w:t>
      </w:r>
      <w:r>
        <w:rPr>
          <w:rFonts w:ascii="Times New Roman;Times;Serif" w:hAnsi="Times New Roman;Times;Serif"/>
          <w:b w:val="false"/>
          <w:i w:val="false"/>
          <w:caps w:val="false"/>
          <w:smallCaps w:val="false"/>
          <w:color w:val="0000FF"/>
          <w:sz w:val="20"/>
          <w:u w:val="single"/>
        </w:rPr>
        <w:t>THE AGENT AND THE LENDERS</w:t>
      </w:r>
      <w:r>
        <w:rPr>
          <w:rFonts w:ascii="Times New Roman;Times;Serif" w:hAnsi="Times New Roman;Times;Serif"/>
          <w:b w:val="false"/>
          <w:i w:val="false"/>
          <w:caps w:val="false"/>
          <w:smallCaps w:val="false"/>
          <w:sz w:val="20"/>
        </w:rPr>
        <w:t xml:space="preserve"> WILL RELY ON FEDERAL LAW INSTEAD OF SUCH ARTICLE FOR THE PURPOSE OF DETERMINING THE MAXIMUM RATE. ADDITIONALLY, TO THE EXTENT PERMITTED BY APPLICABLE LAW NOW IN EFFECT, </w:t>
      </w:r>
      <w:r>
        <w:rPr>
          <w:rFonts w:ascii="Times New Roman;Times;Serif" w:hAnsi="Times New Roman;Times;Serif"/>
          <w:b w:val="false"/>
          <w:i w:val="false"/>
          <w:caps w:val="false"/>
          <w:smallCaps w:val="false"/>
          <w:strike/>
          <w:color w:val="FF0000"/>
          <w:sz w:val="20"/>
        </w:rPr>
        <w:t>BANK</w:t>
      </w:r>
      <w:r>
        <w:rPr>
          <w:rFonts w:ascii="Times New Roman;Times;Serif" w:hAnsi="Times New Roman;Times;Serif"/>
          <w:b w:val="false"/>
          <w:i w:val="false"/>
          <w:caps w:val="false"/>
          <w:smallCaps w:val="false"/>
          <w:color w:val="0000FF"/>
          <w:sz w:val="20"/>
          <w:u w:val="single"/>
        </w:rPr>
        <w:t>EACH OF THE AGENT AND THE LENDERS</w:t>
      </w:r>
      <w:r>
        <w:rPr>
          <w:rFonts w:ascii="Times New Roman;Times;Serif" w:hAnsi="Times New Roman;Times;Serif"/>
          <w:b w:val="false"/>
          <w:i w:val="false"/>
          <w:caps w:val="false"/>
          <w:smallCaps w:val="false"/>
          <w:sz w:val="20"/>
        </w:rPr>
        <w:t xml:space="preserve"> MAY, AT ITS OPTION AND FROM TIME TO TIME, IMPLEMENT ANY OTHER METHOD OF COMPUTING THE MAXIMUM RATE UNDER SUCH ARTICLE, OR UNDER OTHER APPLICABLE LAW BY GIVING NOTICE, IF REQUIRED,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AS PROVIDED BY APPLICABLE LAW NOW OR HEREAFTER IN EFFECT. IN NO EVENT SHALL THE PROVISIONS OF CHAPTER 346 OF THE TEXAS FINANCE CODE (WHICH REGULATES CERTAIN REVOLVING LOAN ACCOUNTS AND REVOLVING TRIPARTY ACCOUNTS) APPLY TO THE OBLIGATIONS. NOTWITHSTANDING ANYTHING TO THE CONTRARY CONTAINED HEREIN OR IN ANY OF THE OTHER LOAN DOCUMENTS, IT IS NOT THE INTENTION OF THE AGENT OR ANY LENDER TO ACCELERATE THE MATURITY OF ANY INTEREST THAT HAS NOT ACCRUED AT THE TIME OF SUCH ACCELERATION OR TO COLLECT UNEARNED INTEREST AT THE TIME OF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15.5</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Judgment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If, for the purposes of obtaining judgment in any court, it is necessary to convert a sum due hereunder or under any other Loan Document in one currency into another currency, the rate of exchange used shall be that at which, in accordance with normal banking procedures, the Agent could purchase the first currency with such other currency on the Business Day preceding that on which final judgment is given. The obligation of each Borrower in respect of any such sum due from it to the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Agent or such Lender, as the case may be, of any sum adjudged to be so due in the Judgment Currency, the Agent or such Lender, as the case may be, may in accordance with normal banking procedures purchase the Agreement Currency with the Judgment Currency. If the amount of the Agreement Currency so purchased is less than the sum originally due to the Agent or any Lender from such Borrower in the Agreement Currency, such Borrower agrees, as a separate obligation and notwithstanding any such judgment, to indemnify the Agent or such Lender, as the case may be, against such loss. If the amount of the Agreement Currency so purchased is greater than the sum originally due to the Agent or any Lender in such Currency, the Agent or such Lender, as the case may be, agrees to return the amount of any excess to the applicable Borrower (or to any other Person who may be entitled thereto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xml:space="preserve">. Each Loan Guarantor (other than those that have delivered a separate Guaranty) hereby agrees that it is jointly and severally liable for, and absolutely and unconditionally </w:t>
      </w:r>
      <w:r>
        <w:rPr>
          <w:rFonts w:ascii="Times New Roman;Times;Serif" w:hAnsi="Times New Roman;Times;Serif"/>
          <w:b w:val="false"/>
          <w:i w:val="false"/>
          <w:caps w:val="false"/>
          <w:smallCaps w:val="false"/>
          <w:strike/>
          <w:color w:val="FF0000"/>
          <w:sz w:val="20"/>
        </w:rPr>
        <w:t>guarantees</w:t>
      </w:r>
      <w:r>
        <w:rPr>
          <w:rFonts w:ascii="Times New Roman;Times;Serif" w:hAnsi="Times New Roman;Times;Serif"/>
          <w:b w:val="false"/>
          <w:i w:val="false"/>
          <w:caps w:val="false"/>
          <w:smallCaps w:val="false"/>
          <w:color w:val="0000FF"/>
          <w:sz w:val="20"/>
          <w:u w:val="single"/>
        </w:rPr>
        <w:t>Guarantees</w:t>
      </w:r>
      <w:r>
        <w:rPr>
          <w:rFonts w:ascii="Times New Roman;Times;Serif" w:hAnsi="Times New Roman;Times;Serif"/>
          <w:b w:val="false"/>
          <w:i w:val="false"/>
          <w:caps w:val="false"/>
          <w:smallCaps w:val="false"/>
          <w:sz w:val="20"/>
        </w:rPr>
        <w:t xml:space="preserve"> to the Lenders, the prompt payment when due, whether at stated maturity, upon acceleration or otherwise, and at all times thereafter, of the Loan Party Obligations and all costs and expenses including, without limitation, all court costs and reasonable attorneys’ and paralegals’ fees (excluding allocated costs of in-house counsel and paralegals) and expenses paid or incurred by the Agent, the L/C Issuer and the Lenders if and to the extent permitted under this Agreement in endeavoring to collect all or any part of the Loan Party Obligations from, or in prosecuting any action against,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any Loan Guarantor or any other guarantor of all or any part of the Loan Party Obligations (such costs and expenses, together with the Loan Party Obligations,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val="false"/>
          <w:i w:val="false"/>
          <w:caps w:val="false"/>
          <w:smallCaps w:val="false"/>
          <w:sz w:val="20"/>
          <w:u w:val="single"/>
        </w:rPr>
        <w:t>Guaranty of Payment</w:t>
      </w:r>
      <w:r>
        <w:rPr>
          <w:rFonts w:ascii="Times New Roman;Times;Serif" w:hAnsi="Times New Roman;Times;Serif"/>
          <w:b w:val="false"/>
          <w:i w:val="false"/>
          <w:caps w:val="false"/>
          <w:smallCaps w:val="false"/>
          <w:sz w:val="20"/>
        </w:rPr>
        <w:t xml:space="preserve">. This Loan Guaranty is a guaranty of payment and not of collection. Each Loan Guarantor waives any right to require the Agent, the L/C Issuer or any Lender to sue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any Loan Guarantor, any other guarantor, or any other Person obligated for all or any part of the Guaranteed Obligations (each, an “</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or otherwise to enforce its payment against any collateral securing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val="false"/>
          <w:i w:val="false"/>
          <w:caps w:val="false"/>
          <w:smallCaps w:val="false"/>
          <w:sz w:val="20"/>
          <w:u w:val="single"/>
        </w:rPr>
        <w:t>No Discharge or Diminishment of Loan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(a)            Except as otherwise provided for herein, the obligations of each Loan Guarantor hereunder are unconditional and absolute and not subject to any reduction, limitation, impairment or termination for any reason (other than the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Agent, the L/C Issuer, any Lender, or any other person, whether in connection herewith or in any unrelated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(c)            Further, the obligations of any Loan Guarantor hereunder are not discharged or impaired or otherwise affected by: (i) the failure of the Agent, the L/C Issuer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for all or any part of the Guaranteed Obligations or any obligations of any other Obligated Party liable for any of the Guaranteed Obligations; (iv) any action or failure to act by the Agent, the L/C Issuer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in cash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val="false"/>
          <w:i w:val="false"/>
          <w:caps w:val="false"/>
          <w:smallCaps w:val="false"/>
          <w:sz w:val="20"/>
          <w:u w:val="single"/>
        </w:rPr>
        <w:t>Defenses Waived</w:t>
      </w:r>
      <w:r>
        <w:rPr>
          <w:rFonts w:ascii="Times New Roman;Times;Serif" w:hAnsi="Times New Roman;Times;Serif"/>
          <w:b w:val="false"/>
          <w:i w:val="false"/>
          <w:caps w:val="false"/>
          <w:smallCaps w:val="false"/>
          <w:sz w:val="20"/>
        </w:rPr>
        <w:t xml:space="preserve">. To the fullest extent permitted by applicable law, each Loan Guarantor hereby waives any defense based on or arising out of any defense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Loan Guarantor or the unenforceability of all or any part of the Guaranteed Obligations from any cause, or the cessation from any cause of the liability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any Loan Guarantor, other than the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Agent may, at its election,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t>
      </w:r>
      <w:r>
        <w:rPr>
          <w:rFonts w:ascii="Times New Roman;Times;Serif" w:hAnsi="Times New Roman;Times;Serif"/>
          <w:b w:val="false"/>
          <w:i w:val="false"/>
          <w:caps w:val="false"/>
          <w:smallCaps w:val="false"/>
          <w:sz w:val="20"/>
          <w:u w:val="single"/>
        </w:rPr>
        <w:t>Rights of Subrogation</w:t>
      </w:r>
      <w:r>
        <w:rPr>
          <w:rFonts w:ascii="Times New Roman;Times;Serif" w:hAnsi="Times New Roman;Times;Serif"/>
          <w:b w:val="false"/>
          <w:i w:val="false"/>
          <w:caps w:val="false"/>
          <w:smallCaps w:val="false"/>
          <w:sz w:val="20"/>
        </w:rPr>
        <w:t>. No Loan Guarantor will assert any right, claim or cause of action, including, without limitation, a claim of subrogation, contribution or indemnification that it has against any Obligated Party, or any collateral, until the Guaranteed Obligations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w:t>
      </w:r>
      <w:r>
        <w:rPr>
          <w:rFonts w:ascii="Times New Roman;Times;Serif" w:hAnsi="Times New Roman;Times;Serif"/>
          <w:b w:val="false"/>
          <w:i w:val="false"/>
          <w:caps w:val="false"/>
          <w:smallCaps w:val="false"/>
          <w:sz w:val="20"/>
          <w:u w:val="single"/>
        </w:rPr>
        <w:t>Reinstatement; Stay of Acceleration</w:t>
      </w:r>
      <w:r>
        <w:rPr>
          <w:rFonts w:ascii="Times New Roman;Times;Serif" w:hAnsi="Times New Roman;Times;Serif"/>
          <w:b w:val="false"/>
          <w:i w:val="false"/>
          <w:caps w:val="false"/>
          <w:smallCaps w:val="false"/>
          <w:sz w:val="20"/>
        </w:rPr>
        <w:t xml:space="preserve">. Notwithstanding any provisions herein to the contrary, if at any time any payment of any portion of the Guaranteed Obligations is rescinded or must otherwise be restored or returned upon the insolvency, bankruptcy, or reorganization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or otherwise, each Loan Guarantor’s obligations under this Loan Guaranty with respect to that payment shall be reinstated at such time as though the payment had not been made and whether or not the Agent, the L/C Issuer and the Lenders are in possession of this Loan Guaranty. If acceleration of the time for payment of any of the Guaranteed Obligations is stayed upon the insolvency, bankruptcy or reorganization of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all such amounts otherwise subject to acceleration under the terms of any agreement relating to the Guaranteed Obligations shall nonetheless be payable by the Loan Guarantors forthwith on demand by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Each Loan Guarantor assumes all responsibility for being and keeping itself informed of the </w:t>
      </w:r>
      <w:r>
        <w:rPr>
          <w:rFonts w:ascii="Times New Roman;Times;Serif" w:hAnsi="Times New Roman;Times;Serif"/>
          <w:b w:val="false"/>
          <w:i w:val="false"/>
          <w:caps w:val="false"/>
          <w:smallCaps w:val="false"/>
          <w:strike/>
          <w:color w:val="FF0000"/>
          <w:sz w:val="20"/>
        </w:rPr>
        <w:t>Borrower’s</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financial condition and assets, and of all other circumstances bearing upon the risk of nonpayment of the Guaranteed Obligations and the nature, scope and extent of the risks that each Loan Guarantor assumes and incurs under this Loan Guaranty, and agrees that neither the Agent, the L/C Issuer nor any Lender shall have any duty to advise any Loan Guarantor of information known to it regarding those circumstances or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Each of the Lenders and the L/C Issuer may continue to make loans or extend credit to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based on this Loan Guaranty until five days after it receives written notice of termination from any Loan Guarantor. Notwithstanding receipt of any such notice and subject to </w:t>
      </w:r>
      <w:r>
        <w:rPr>
          <w:rFonts w:ascii="Times New Roman;Times;Serif" w:hAnsi="Times New Roman;Times;Serif"/>
          <w:b w:val="false"/>
          <w:i w:val="false"/>
          <w:caps w:val="false"/>
          <w:smallCaps w:val="false"/>
          <w:sz w:val="20"/>
          <w:u w:val="single"/>
        </w:rPr>
        <w:t>Section 16.10</w:t>
      </w:r>
      <w:r>
        <w:rPr>
          <w:rFonts w:ascii="Times New Roman;Times;Serif" w:hAnsi="Times New Roman;Times;Serif"/>
          <w:b w:val="false"/>
          <w:i w:val="false"/>
          <w:caps w:val="false"/>
          <w:smallCaps w:val="false"/>
          <w:sz w:val="20"/>
        </w:rPr>
        <w:t xml:space="preserve"> of this Agreement,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Each payment of the Guaranteed Obligations will be made by each Loan Guarantor without withholding for any Taxes, unless such withholding is required under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         </w:t>
      </w:r>
      <w:r>
        <w:rPr>
          <w:rFonts w:ascii="Times New Roman;Times;Serif" w:hAnsi="Times New Roman;Times;Serif"/>
          <w:b w:val="false"/>
          <w:i w:val="false"/>
          <w:caps w:val="false"/>
          <w:smallCaps w:val="false"/>
          <w:sz w:val="20"/>
          <w:u w:val="single"/>
        </w:rPr>
        <w:t>Maximum Liability</w:t>
      </w:r>
      <w:r>
        <w:rPr>
          <w:rFonts w:ascii="Times New Roman;Times;Serif" w:hAnsi="Times New Roman;Times;Serif"/>
          <w:b w:val="false"/>
          <w:i w:val="false"/>
          <w:caps w:val="false"/>
          <w:smallCaps w:val="false"/>
          <w:sz w:val="20"/>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Agent, the L/C Issuer or any Lender, be automatically limited and reduced to the highest amount that is valid and enforceable as determined in such action or proceeding (such highest amount determined hereunder being the relevant Loan Guarantor’s “</w:t>
      </w:r>
      <w:r>
        <w:rPr>
          <w:rFonts w:ascii="Times New Roman;Times;Serif" w:hAnsi="Times New Roman;Times;Serif"/>
          <w:b w:val="false"/>
          <w:i w:val="false"/>
          <w:caps w:val="false"/>
          <w:smallCaps w:val="false"/>
          <w:sz w:val="20"/>
          <w:u w:val="single"/>
        </w:rPr>
        <w:t>Maximum Liability</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with respect to the Maximum Liability of each Loan Guarantor is intended solely to preserve the rights of the Agent, the L/C Issuer and the Lenders to the maximum extent not subject to avoidance under applicable law, and no Loan Guarantor nor any other Person shall have any right or claim under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with 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Agent, the L/C Issuer or the Lenders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sentence shall be construed to increase any Loan Guarantor’s obligations hereunder beyond its Maximum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the event any Loan Guarantor (a “</w:t>
      </w:r>
      <w:r>
        <w:rPr>
          <w:rFonts w:ascii="Times New Roman;Times;Serif" w:hAnsi="Times New Roman;Times;Serif"/>
          <w:b w:val="false"/>
          <w:i w:val="false"/>
          <w:caps w:val="false"/>
          <w:smallCaps w:val="false"/>
          <w:sz w:val="20"/>
          <w:u w:val="single"/>
        </w:rPr>
        <w:t>Paying Guarantor</w:t>
      </w:r>
      <w:r>
        <w:rPr>
          <w:rFonts w:ascii="Times New Roman;Times;Serif" w:hAnsi="Times New Roman;Times;Serif"/>
          <w:b w:val="false"/>
          <w:i w:val="false"/>
          <w:caps w:val="false"/>
          <w:smallCaps w:val="false"/>
          <w:sz w:val="20"/>
        </w:rPr>
        <w:t>”) shall make any payment or payments under this Loan Guaranty or shall suffer any loss as a result of any realization upon any collateral granted by it to secure its obligations under this Loan Guaranty, each other Loan Guarantor (each a “</w:t>
      </w:r>
      <w:r>
        <w:rPr>
          <w:rFonts w:ascii="Times New Roman;Times;Serif" w:hAnsi="Times New Roman;Times;Serif"/>
          <w:b w:val="false"/>
          <w:i w:val="false"/>
          <w:caps w:val="false"/>
          <w:smallCaps w:val="false"/>
          <w:sz w:val="20"/>
          <w:u w:val="single"/>
        </w:rPr>
        <w:t>Non-Paying Guarantor</w:t>
      </w:r>
      <w:r>
        <w:rPr>
          <w:rFonts w:ascii="Times New Roman;Times;Serif" w:hAnsi="Times New Roman;Times;Serif"/>
          <w:b w:val="false"/>
          <w:i w:val="false"/>
          <w:caps w:val="false"/>
          <w:smallCaps w:val="false"/>
          <w:sz w:val="20"/>
        </w:rPr>
        <w:t>”) shall contribute to such Paying Guarantor an amount equal to such Non-Paying Guarantor’s “</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of such payment or payments made, or losses suffered, by such Paying Guarantor. For purposes of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each Non-Paying Guarantor’s “Applicable Percentage” 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after the date hereof (whether by loan, capital infusion or by other means) to (ii)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the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after the date hereof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all of the Agent, the L/C Issuer, the Lenders and the Loan Guarantors and may be enforced by any one, or more, or all of them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        </w:t>
      </w:r>
      <w:r>
        <w:rPr>
          <w:rFonts w:ascii="Times New Roman;Times;Serif" w:hAnsi="Times New Roman;Times;Serif"/>
          <w:b w:val="false"/>
          <w:i w:val="false"/>
          <w:caps w:val="false"/>
          <w:smallCaps w:val="false"/>
          <w:sz w:val="20"/>
          <w:u w:val="single"/>
        </w:rPr>
        <w:t>Liability Cumulative</w:t>
      </w:r>
      <w:r>
        <w:rPr>
          <w:rFonts w:ascii="Times New Roman;Times;Serif" w:hAnsi="Times New Roman;Times;Serif"/>
          <w:b w:val="false"/>
          <w:i w:val="false"/>
          <w:caps w:val="false"/>
          <w:smallCaps w:val="false"/>
          <w:sz w:val="20"/>
        </w:rPr>
        <w:t xml:space="preserve">. The liability of each Loan Party as a Loan Guarantor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is in addition to and shall be cumulative with all liabilities of each Loan Party to the Agent, the L/C Issuer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        </w:t>
      </w:r>
      <w:r>
        <w:rPr>
          <w:rFonts w:ascii="Times New Roman;Times;Serif" w:hAnsi="Times New Roman;Times;Serif"/>
          <w:b w:val="false"/>
          <w:i w:val="false"/>
          <w:caps w:val="false"/>
          <w:smallCaps w:val="false"/>
          <w:sz w:val="20"/>
          <w:u w:val="single"/>
        </w:rPr>
        <w:t>Keepwell</w:t>
      </w:r>
      <w:r>
        <w:rPr>
          <w:rFonts w:ascii="Times New Roman;Times;Serif" w:hAnsi="Times New Roman;Times;Serif"/>
          <w:b w:val="false"/>
          <w:i w:val="false"/>
          <w:caps w:val="false"/>
          <w:smallCaps w:val="false"/>
          <w:sz w:val="20"/>
        </w:rPr>
        <w:t xml:space="preserve">. Without limiting anything in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each Qualified ECP Guarantor hereby jointly and severally absolutely, unconditionally and irrevocably undertakes to provide such funds or other support as may be needed from time to time to each Loan Guarantor that is not an “eligible contract participant” under the Commodity Exchange Act at the time the guarantee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becomes effective with respect to any Swap Obligation, to honor all of the Obligations of such Loan Guarantor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in respect of such Swap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Qualified ECP Guarantor shall only be liable under this </w:t>
      </w:r>
      <w:r>
        <w:rPr>
          <w:rFonts w:ascii="Times New Roman;Times;Serif" w:hAnsi="Times New Roman;Times;Serif"/>
          <w:b w:val="false"/>
          <w:i w:val="false"/>
          <w:caps w:val="false"/>
          <w:smallCaps w:val="false"/>
          <w:sz w:val="20"/>
          <w:u w:val="single"/>
        </w:rPr>
        <w:t>Section 16.13</w:t>
      </w:r>
      <w:r>
        <w:rPr>
          <w:rFonts w:ascii="Times New Roman;Times;Serif" w:hAnsi="Times New Roman;Times;Serif"/>
          <w:b w:val="false"/>
          <w:i w:val="false"/>
          <w:caps w:val="false"/>
          <w:smallCaps w:val="false"/>
          <w:sz w:val="20"/>
        </w:rPr>
        <w:t xml:space="preserve"> for the maximum amount of such liability that can be hereby incurred without rendering its undertaking under this </w:t>
      </w:r>
      <w:r>
        <w:rPr>
          <w:rFonts w:ascii="Times New Roman;Times;Serif" w:hAnsi="Times New Roman;Times;Serif"/>
          <w:b w:val="false"/>
          <w:i w:val="false"/>
          <w:caps w:val="false"/>
          <w:smallCaps w:val="false"/>
          <w:sz w:val="20"/>
          <w:u w:val="single"/>
        </w:rPr>
        <w:t>Section 16.13</w:t>
      </w:r>
      <w:r>
        <w:rPr>
          <w:rFonts w:ascii="Times New Roman;Times;Serif" w:hAnsi="Times New Roman;Times;Serif"/>
          <w:b w:val="false"/>
          <w:i w:val="false"/>
          <w:caps w:val="false"/>
          <w:smallCaps w:val="false"/>
          <w:sz w:val="20"/>
        </w:rPr>
        <w:t xml:space="preserve">, or otherwise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voidable under applicable Law relating to fraudulent conveyance or fraudulent transfer, and not for any greater amount). The undertaking of each Qualified ECP Guarantor under this </w:t>
      </w:r>
      <w:r>
        <w:rPr>
          <w:rFonts w:ascii="Times New Roman;Times;Serif" w:hAnsi="Times New Roman;Times;Serif"/>
          <w:b w:val="false"/>
          <w:i w:val="false"/>
          <w:caps w:val="false"/>
          <w:smallCaps w:val="false"/>
          <w:sz w:val="20"/>
          <w:u w:val="single"/>
        </w:rPr>
        <w:t>Section 16.13</w:t>
      </w:r>
      <w:r>
        <w:rPr>
          <w:rFonts w:ascii="Times New Roman;Times;Serif" w:hAnsi="Times New Roman;Times;Serif"/>
          <w:b w:val="false"/>
          <w:i w:val="false"/>
          <w:caps w:val="false"/>
          <w:smallCaps w:val="false"/>
          <w:sz w:val="20"/>
        </w:rPr>
        <w:t xml:space="preserve"> shall remain in full force and effect until termination of the Commitments and payment in full of all Loans and other Obligations. Each Qualified ECP Guarantor intends that this </w:t>
      </w:r>
      <w:r>
        <w:rPr>
          <w:rFonts w:ascii="Times New Roman;Times;Serif" w:hAnsi="Times New Roman;Times;Serif"/>
          <w:b w:val="false"/>
          <w:i w:val="false"/>
          <w:caps w:val="false"/>
          <w:smallCaps w:val="false"/>
          <w:sz w:val="20"/>
          <w:u w:val="single"/>
        </w:rPr>
        <w:t>Section 16.13</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16.13</w:t>
      </w:r>
      <w:r>
        <w:rPr>
          <w:rFonts w:ascii="Times New Roman;Times;Serif" w:hAnsi="Times New Roman;Times;Serif"/>
          <w:b w:val="false"/>
          <w:i w:val="false"/>
          <w:caps w:val="false"/>
          <w:smallCaps w:val="false"/>
          <w:sz w:val="20"/>
        </w:rPr>
        <w:t xml:space="preserve"> shall be deemed to constitute, a “keepwell, support, or other agreement” for the benefit of each Loan Guarantor that would otherwise not constitute an “eligible contract participant” under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Loan Guaranty supersedes all prior written and oral agreements and understandings, if any, regarding the subject matter of this Loan Guaranty;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this Loan Guaranty is in addition to and does not replace, cancel, modify or affect any other guaranty of Loan Guarantor now or hereafter held by Bank that relates to </w:t>
      </w:r>
      <w:r>
        <w:rPr>
          <w:rFonts w:ascii="Times New Roman;Times;Serif" w:hAnsi="Times New Roman;Times;Serif"/>
          <w:b w:val="false"/>
          <w:i w:val="false"/>
          <w:caps w:val="false"/>
          <w:smallCaps w:val="false"/>
          <w:strike/>
          <w:color w:val="FF0000"/>
          <w:sz w:val="20"/>
        </w:rPr>
        <w:t>Borrower</w:t>
      </w:r>
      <w:r>
        <w:rPr>
          <w:rFonts w:ascii="Times New Roman;Times;Serif" w:hAnsi="Times New Roman;Times;Serif"/>
          <w:b w:val="false"/>
          <w:i w:val="false"/>
          <w:caps w:val="false"/>
          <w:smallCaps w:val="false"/>
          <w:color w:val="0000FF"/>
          <w:sz w:val="20"/>
          <w:u w:val="single"/>
        </w:rPr>
        <w:t>the Borrowers</w:t>
      </w:r>
      <w:r>
        <w:rPr>
          <w:rFonts w:ascii="Times New Roman;Times;Serif" w:hAnsi="Times New Roman;Times;Serif"/>
          <w:b w:val="false"/>
          <w:i w:val="false"/>
          <w:caps w:val="false"/>
          <w:smallCaps w:val="false"/>
          <w:sz w:val="20"/>
        </w:rPr>
        <w:t xml:space="preserve"> and different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        </w:t>
      </w:r>
      <w:r>
        <w:rPr>
          <w:rFonts w:ascii="Times New Roman;Times;Serif" w:hAnsi="Times New Roman;Times;Serif"/>
          <w:b w:val="false"/>
          <w:i w:val="false"/>
          <w:caps w:val="false"/>
          <w:smallCaps w:val="false"/>
          <w:sz w:val="20"/>
          <w:u w:val="single"/>
        </w:rPr>
        <w:t>Texas Pawnshop Act</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any other provision of this Agreement or any other Loan Document, to the extent required by applicable law, Agent and Lenders hereby agree to subordinate any rights and/or claims they may have against the current assets (as such term is defined in the Texas Pawnshop Act) of any Loan Party in order for such Loan Party to meet the net asset requirement of the Texas Pawnshop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STATUTE OF FRAUDS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ENTIRE AGREEMENT – SECTION 26.02 NOTICE</w:t>
      </w:r>
      <w:r>
        <w:rPr>
          <w:rFonts w:ascii="Times New Roman;Times;Serif" w:hAnsi="Times New Roman;Times;Serif"/>
          <w:b/>
          <w:i w:val="false"/>
          <w:caps w:val="false"/>
          <w:smallCaps w:val="false"/>
          <w:sz w:val="20"/>
        </w:rPr>
        <w:t>. IN ACCORDANCE WITH SECTION 26.02 OF THE TEXAS BUSINESS AND COMMERCE CODE, THIS AGREEMENT AND THE OTHER LOAN DOCUMENTS TOGETHER CONSTITUTE A WRITTEN AGREEMENT AND REPRESENT THE FINAL AGREEMENT BETWEEN THE PARTIES AND MAY NOT BE CONTRADICTED BY EVIDENCE OF PRIOR, CONTEMPORANEOUS OR SUBSEQUENT ORAL AGREEMENTS OF THE PARTIES. THERE ARE NO UNWRITTEN ORAL AGREEMENTS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caps w:val="false"/>
          <w:smallCaps w:val="false"/>
          <w:color w:val="0000FF"/>
          <w:sz w:val="20"/>
          <w:u w:val="single"/>
        </w:rPr>
        <w:t>Signature pages intentionally omitted</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Commitment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u w:val="single"/>
        </w:rPr>
      </w:pPr>
      <w:r>
        <w:rPr>
          <w:u w:val="single"/>
        </w:rPr>
        <w:t>Commitments</w:t>
      </w:r>
    </w:p>
    <w:p>
      <w:pPr>
        <w:pStyle w:val="TextBody"/>
        <w:bidi w:val="0"/>
        <w:spacing w:before="0" w:after="283"/>
        <w:jc w:val="left"/>
        <w:rPr/>
      </w:pPr>
      <w:r>
        <w:rPr/>
        <w:t> </w:t>
      </w:r>
    </w:p>
    <w:tbl>
      <w:tblPr>
        <w:tblW w:w="8749" w:type="dxa"/>
        <w:jc w:val="left"/>
        <w:tblInd w:w="0" w:type="dxa"/>
        <w:tblLayout w:type="fixed"/>
        <w:tblCellMar>
          <w:top w:w="0" w:type="dxa"/>
          <w:left w:w="0" w:type="dxa"/>
          <w:bottom w:w="0" w:type="dxa"/>
          <w:right w:w="0" w:type="dxa"/>
        </w:tblCellMar>
      </w:tblPr>
      <w:tblGrid>
        <w:gridCol w:w="1490"/>
        <w:gridCol w:w="60"/>
        <w:gridCol w:w="125"/>
        <w:gridCol w:w="1460"/>
        <w:gridCol w:w="60"/>
        <w:gridCol w:w="60"/>
        <w:gridCol w:w="60"/>
        <w:gridCol w:w="1850"/>
        <w:gridCol w:w="215"/>
        <w:gridCol w:w="60"/>
        <w:gridCol w:w="134"/>
        <w:gridCol w:w="1415"/>
        <w:gridCol w:w="61"/>
        <w:gridCol w:w="61"/>
        <w:gridCol w:w="61"/>
        <w:gridCol w:w="1347"/>
        <w:gridCol w:w="23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Commitment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Alternative Currency Commitment</w:t>
            </w:r>
          </w:p>
        </w:tc>
        <w:tc>
          <w:tcPr>
            <w:tcW w:w="230" w:type="dxa"/>
            <w:tcBorders/>
            <w:vAlign w:val="center"/>
          </w:tcPr>
          <w:p>
            <w:pPr>
              <w:pStyle w:val="TableContents"/>
              <w:bidi w:val="0"/>
              <w:spacing w:before="0" w:after="283"/>
              <w:jc w:val="left"/>
              <w:rPr/>
            </w:pPr>
            <w:r>
              <w:rPr/>
              <w:t> </w:t>
            </w:r>
          </w:p>
        </w:tc>
      </w:tr>
      <w:tr>
        <w:trPr/>
        <w:tc>
          <w:tcPr>
            <w:tcW w:w="14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Lender</w:t>
            </w:r>
          </w:p>
        </w:tc>
        <w:tc>
          <w:tcPr>
            <w:tcW w:w="60"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Dollars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Rata Share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Dollar Equivalent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Rata Share</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20"/>
              </w:rPr>
            </w:pPr>
            <w:r>
              <w:rPr>
                <w:sz w:val="20"/>
              </w:rPr>
              <w:t>Wells Fargo 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460" w:type="dxa"/>
            <w:tcBorders/>
            <w:shd w:fill="CCEEFF" w:val="clear"/>
            <w:vAlign w:val="center"/>
          </w:tcPr>
          <w:p>
            <w:pPr>
              <w:pStyle w:val="TableContents"/>
              <w:bidi w:val="0"/>
              <w:spacing w:before="0" w:after="283"/>
              <w:jc w:val="right"/>
              <w:rPr>
                <w:sz w:val="20"/>
              </w:rPr>
            </w:pPr>
            <w:r>
              <w:rPr>
                <w:sz w:val="20"/>
              </w:rPr>
              <w:t>150,000,000.00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sz w:val="20"/>
              </w:rPr>
            </w:pPr>
            <w:r>
              <w:rPr>
                <w:sz w:val="20"/>
              </w:rPr>
              <w:t>12.01261261261260</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sz w:val="20"/>
              </w:rPr>
            </w:pPr>
            <w:r>
              <w:rPr>
                <w:sz w:val="20"/>
              </w:rPr>
              <w:t>83,330,000.00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sz w:val="20"/>
              </w:rPr>
            </w:pPr>
            <w:r>
              <w:rPr>
                <w:sz w:val="20"/>
              </w:rPr>
              <w:t>16.666000000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460" w:type="dxa"/>
            <w:tcBorders/>
            <w:shd w:fill="FFFFFF" w:val="clear"/>
            <w:vAlign w:val="center"/>
          </w:tcPr>
          <w:p>
            <w:pPr>
              <w:pStyle w:val="TableContents"/>
              <w:bidi w:val="0"/>
              <w:spacing w:before="0" w:after="283"/>
              <w:jc w:val="right"/>
              <w:rPr>
                <w:sz w:val="20"/>
              </w:rPr>
            </w:pPr>
            <w:r>
              <w:rPr>
                <w:sz w:val="20"/>
              </w:rPr>
              <w:t>140,000,000.00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right"/>
              <w:rPr>
                <w:sz w:val="20"/>
              </w:rPr>
            </w:pPr>
            <w:r>
              <w:rPr>
                <w:sz w:val="20"/>
              </w:rPr>
              <w:t>11.21081081081080</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415" w:type="dxa"/>
            <w:tcBorders/>
            <w:shd w:fill="FFFFFF" w:val="clear"/>
            <w:vAlign w:val="center"/>
          </w:tcPr>
          <w:p>
            <w:pPr>
              <w:pStyle w:val="TableContents"/>
              <w:bidi w:val="0"/>
              <w:spacing w:before="0" w:after="283"/>
              <w:jc w:val="right"/>
              <w:rPr>
                <w:sz w:val="20"/>
              </w:rPr>
            </w:pPr>
            <w:r>
              <w:rPr>
                <w:sz w:val="20"/>
              </w:rPr>
              <w:t>77,780,000.00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sz w:val="20"/>
              </w:rPr>
            </w:pPr>
            <w:r>
              <w:rPr>
                <w:sz w:val="20"/>
              </w:rPr>
              <w:t>15.556000000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460" w:type="dxa"/>
            <w:tcBorders/>
            <w:shd w:fill="CCEEFF" w:val="clear"/>
            <w:vAlign w:val="center"/>
          </w:tcPr>
          <w:p>
            <w:pPr>
              <w:pStyle w:val="TableContents"/>
              <w:bidi w:val="0"/>
              <w:spacing w:before="0" w:after="283"/>
              <w:jc w:val="right"/>
              <w:rPr>
                <w:sz w:val="20"/>
              </w:rPr>
            </w:pPr>
            <w:r>
              <w:rPr>
                <w:sz w:val="20"/>
              </w:rPr>
              <w:t>125,000,000.00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sz w:val="20"/>
              </w:rPr>
            </w:pPr>
            <w:r>
              <w:rPr>
                <w:sz w:val="20"/>
              </w:rPr>
              <w:t>10.01081081081080</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sz w:val="20"/>
              </w:rPr>
            </w:pPr>
            <w:r>
              <w:rPr>
                <w:sz w:val="20"/>
              </w:rPr>
              <w:t>69,440,000.00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sz w:val="20"/>
              </w:rPr>
            </w:pPr>
            <w:r>
              <w:rPr>
                <w:sz w:val="20"/>
              </w:rPr>
              <w:t>13.888000000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460" w:type="dxa"/>
            <w:tcBorders/>
            <w:shd w:fill="FFFFFF" w:val="clear"/>
            <w:vAlign w:val="center"/>
          </w:tcPr>
          <w:p>
            <w:pPr>
              <w:pStyle w:val="TableContents"/>
              <w:bidi w:val="0"/>
              <w:spacing w:before="0" w:after="283"/>
              <w:jc w:val="right"/>
              <w:rPr>
                <w:sz w:val="20"/>
              </w:rPr>
            </w:pPr>
            <w:r>
              <w:rPr>
                <w:sz w:val="20"/>
              </w:rPr>
              <w:t>125,000,000.00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right"/>
              <w:rPr>
                <w:sz w:val="20"/>
              </w:rPr>
            </w:pPr>
            <w:r>
              <w:rPr>
                <w:sz w:val="20"/>
              </w:rPr>
              <w:t>10.01081081081080</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415" w:type="dxa"/>
            <w:tcBorders/>
            <w:shd w:fill="FFFFFF" w:val="clear"/>
            <w:vAlign w:val="center"/>
          </w:tcPr>
          <w:p>
            <w:pPr>
              <w:pStyle w:val="TableContents"/>
              <w:bidi w:val="0"/>
              <w:spacing w:before="0" w:after="283"/>
              <w:jc w:val="right"/>
              <w:rPr>
                <w:sz w:val="20"/>
              </w:rPr>
            </w:pPr>
            <w:r>
              <w:rPr>
                <w:sz w:val="20"/>
              </w:rPr>
              <w:t>69,440,000.00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sz w:val="20"/>
              </w:rPr>
            </w:pPr>
            <w:r>
              <w:rPr>
                <w:sz w:val="20"/>
              </w:rPr>
              <w:t>13.888000000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460" w:type="dxa"/>
            <w:tcBorders/>
            <w:shd w:fill="CCEEFF" w:val="clear"/>
            <w:vAlign w:val="center"/>
          </w:tcPr>
          <w:p>
            <w:pPr>
              <w:pStyle w:val="TableContents"/>
              <w:bidi w:val="0"/>
              <w:spacing w:before="0" w:after="283"/>
              <w:jc w:val="right"/>
              <w:rPr>
                <w:sz w:val="20"/>
              </w:rPr>
            </w:pPr>
            <w:r>
              <w:rPr>
                <w:sz w:val="20"/>
              </w:rPr>
              <w:t>105,000,000.00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sz w:val="20"/>
              </w:rPr>
            </w:pPr>
            <w:r>
              <w:rPr>
                <w:sz w:val="20"/>
              </w:rPr>
              <w:t>8.40900900900901</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sz w:val="20"/>
              </w:rPr>
            </w:pPr>
            <w:r>
              <w:rPr>
                <w:sz w:val="20"/>
              </w:rPr>
              <w:t>58,330,000.00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sz w:val="20"/>
              </w:rPr>
            </w:pPr>
            <w:r>
              <w:rPr>
                <w:sz w:val="20"/>
              </w:rPr>
              <w:t>11.666000000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460" w:type="dxa"/>
            <w:tcBorders/>
            <w:shd w:fill="FFFFFF" w:val="clear"/>
            <w:vAlign w:val="center"/>
          </w:tcPr>
          <w:p>
            <w:pPr>
              <w:pStyle w:val="TableContents"/>
              <w:bidi w:val="0"/>
              <w:spacing w:before="0" w:after="283"/>
              <w:jc w:val="right"/>
              <w:rPr>
                <w:sz w:val="20"/>
              </w:rPr>
            </w:pPr>
            <w:r>
              <w:rPr>
                <w:sz w:val="20"/>
              </w:rPr>
              <w:t>100,000,000.00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right"/>
              <w:rPr>
                <w:sz w:val="20"/>
              </w:rPr>
            </w:pPr>
            <w:r>
              <w:rPr>
                <w:sz w:val="20"/>
              </w:rPr>
              <w:t>8.00720720720721</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415" w:type="dxa"/>
            <w:tcBorders/>
            <w:shd w:fill="FFFFFF" w:val="clear"/>
            <w:vAlign w:val="center"/>
          </w:tcPr>
          <w:p>
            <w:pPr>
              <w:pStyle w:val="TableContents"/>
              <w:bidi w:val="0"/>
              <w:spacing w:before="0" w:after="283"/>
              <w:jc w:val="right"/>
              <w:rPr>
                <w:sz w:val="20"/>
              </w:rPr>
            </w:pPr>
            <w:r>
              <w:rPr>
                <w:sz w:val="20"/>
              </w:rPr>
              <w:t>55,560,000.00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sz w:val="20"/>
              </w:rPr>
            </w:pPr>
            <w:r>
              <w:rPr>
                <w:sz w:val="20"/>
              </w:rPr>
              <w:t>11.112000000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460" w:type="dxa"/>
            <w:tcBorders/>
            <w:shd w:fill="CCEEFF" w:val="clear"/>
            <w:vAlign w:val="center"/>
          </w:tcPr>
          <w:p>
            <w:pPr>
              <w:pStyle w:val="TableContents"/>
              <w:bidi w:val="0"/>
              <w:spacing w:before="0" w:after="283"/>
              <w:jc w:val="right"/>
              <w:rPr>
                <w:sz w:val="20"/>
              </w:rPr>
            </w:pPr>
            <w:r>
              <w:rPr>
                <w:sz w:val="20"/>
              </w:rPr>
              <w:t>75,000,000.00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sz w:val="20"/>
              </w:rPr>
            </w:pPr>
            <w:r>
              <w:rPr>
                <w:sz w:val="20"/>
              </w:rPr>
              <w:t>6.00540540540541</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sz w:val="20"/>
              </w:rPr>
            </w:pPr>
            <w:r>
              <w:rPr>
                <w:sz w:val="20"/>
              </w:rPr>
              <w:t>41,670,000.00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sz w:val="20"/>
              </w:rPr>
            </w:pPr>
            <w:r>
              <w:rPr>
                <w:sz w:val="20"/>
              </w:rPr>
              <w:t>8.334000000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460" w:type="dxa"/>
            <w:tcBorders/>
            <w:shd w:fill="FFFFFF" w:val="clear"/>
            <w:vAlign w:val="center"/>
          </w:tcPr>
          <w:p>
            <w:pPr>
              <w:pStyle w:val="TableContents"/>
              <w:bidi w:val="0"/>
              <w:spacing w:before="0" w:after="283"/>
              <w:jc w:val="right"/>
              <w:rPr>
                <w:sz w:val="20"/>
              </w:rPr>
            </w:pPr>
            <w:r>
              <w:rPr>
                <w:sz w:val="20"/>
              </w:rPr>
              <w:t>50,000,000.00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right"/>
              <w:rPr>
                <w:sz w:val="20"/>
              </w:rPr>
            </w:pPr>
            <w:r>
              <w:rPr>
                <w:sz w:val="20"/>
              </w:rPr>
              <w:t>4.00360360360360</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415" w:type="dxa"/>
            <w:tcBorders/>
            <w:shd w:fill="FFFFFF" w:val="clear"/>
            <w:vAlign w:val="center"/>
          </w:tcPr>
          <w:p>
            <w:pPr>
              <w:pStyle w:val="TableContents"/>
              <w:bidi w:val="0"/>
              <w:spacing w:before="0" w:after="283"/>
              <w:jc w:val="right"/>
              <w:rPr>
                <w:sz w:val="20"/>
              </w:rPr>
            </w:pPr>
            <w:r>
              <w:rPr>
                <w:sz w:val="20"/>
              </w:rPr>
              <w:t>27,780,000.00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sz w:val="20"/>
              </w:rPr>
            </w:pPr>
            <w:r>
              <w:rPr>
                <w:sz w:val="20"/>
              </w:rPr>
              <w:t>5.556000000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460" w:type="dxa"/>
            <w:tcBorders/>
            <w:shd w:fill="CCEEFF" w:val="clear"/>
            <w:vAlign w:val="center"/>
          </w:tcPr>
          <w:p>
            <w:pPr>
              <w:pStyle w:val="TableContents"/>
              <w:bidi w:val="0"/>
              <w:spacing w:before="0" w:after="283"/>
              <w:jc w:val="right"/>
              <w:rPr>
                <w:sz w:val="20"/>
              </w:rPr>
            </w:pPr>
            <w:r>
              <w:rPr>
                <w:sz w:val="20"/>
              </w:rPr>
              <w:t>50,000,000.00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sz w:val="20"/>
              </w:rPr>
            </w:pPr>
            <w:r>
              <w:rPr>
                <w:sz w:val="20"/>
              </w:rPr>
              <w:t>9.00900900900901</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sz w:val="20"/>
              </w:rPr>
            </w:pPr>
            <w:r>
              <w:rPr>
                <w:sz w:val="20"/>
              </w:rPr>
              <w:t>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sz w:val="20"/>
              </w:rPr>
            </w:pPr>
            <w:r>
              <w:rPr>
                <w:sz w:val="20"/>
              </w:rPr>
              <w:t>0.000000000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460" w:type="dxa"/>
            <w:tcBorders/>
            <w:shd w:fill="FFFFFF" w:val="clear"/>
            <w:vAlign w:val="center"/>
          </w:tcPr>
          <w:p>
            <w:pPr>
              <w:pStyle w:val="TableContents"/>
              <w:bidi w:val="0"/>
              <w:spacing w:before="0" w:after="283"/>
              <w:jc w:val="right"/>
              <w:rPr>
                <w:sz w:val="20"/>
              </w:rPr>
            </w:pPr>
            <w:r>
              <w:rPr>
                <w:sz w:val="20"/>
              </w:rPr>
              <w:t>40,000,000.00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right"/>
              <w:rPr>
                <w:sz w:val="20"/>
              </w:rPr>
            </w:pPr>
            <w:r>
              <w:rPr>
                <w:sz w:val="20"/>
              </w:rPr>
              <w:t>7.20720720720721</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415" w:type="dxa"/>
            <w:tcBorders/>
            <w:shd w:fill="FFFFFF" w:val="clear"/>
            <w:vAlign w:val="center"/>
          </w:tcPr>
          <w:p>
            <w:pPr>
              <w:pStyle w:val="TableContents"/>
              <w:bidi w:val="0"/>
              <w:spacing w:before="0" w:after="283"/>
              <w:jc w:val="right"/>
              <w:rPr>
                <w:sz w:val="20"/>
              </w:rPr>
            </w:pPr>
            <w:r>
              <w:rPr>
                <w:sz w:val="20"/>
              </w:rPr>
              <w:t>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sz w:val="20"/>
              </w:rPr>
            </w:pPr>
            <w:r>
              <w:rPr>
                <w:sz w:val="20"/>
              </w:rPr>
              <w:t>0.000000000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460" w:type="dxa"/>
            <w:tcBorders/>
            <w:shd w:fill="CCEEFF" w:val="clear"/>
            <w:vAlign w:val="center"/>
          </w:tcPr>
          <w:p>
            <w:pPr>
              <w:pStyle w:val="TableContents"/>
              <w:bidi w:val="0"/>
              <w:spacing w:before="0" w:after="283"/>
              <w:jc w:val="right"/>
              <w:rPr>
                <w:sz w:val="20"/>
              </w:rPr>
            </w:pPr>
            <w:r>
              <w:rPr>
                <w:sz w:val="20"/>
              </w:rPr>
              <w:t>40,000,000.00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right"/>
              <w:rPr>
                <w:sz w:val="20"/>
              </w:rPr>
            </w:pPr>
            <w:r>
              <w:rPr>
                <w:sz w:val="20"/>
              </w:rPr>
              <w:t>7.20720720720721</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415" w:type="dxa"/>
            <w:tcBorders/>
            <w:shd w:fill="CCEEFF" w:val="clear"/>
            <w:vAlign w:val="center"/>
          </w:tcPr>
          <w:p>
            <w:pPr>
              <w:pStyle w:val="TableContents"/>
              <w:bidi w:val="0"/>
              <w:spacing w:before="0" w:after="283"/>
              <w:jc w:val="right"/>
              <w:rPr>
                <w:sz w:val="20"/>
              </w:rPr>
            </w:pPr>
            <w:r>
              <w:rPr>
                <w:sz w:val="20"/>
              </w:rPr>
              <w:t>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sz w:val="20"/>
              </w:rPr>
            </w:pPr>
            <w:r>
              <w:rPr>
                <w:sz w:val="20"/>
              </w:rPr>
              <w:t>0.000000000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460" w:type="dxa"/>
            <w:tcBorders/>
            <w:shd w:fill="FFFFFF" w:val="clear"/>
            <w:vAlign w:val="center"/>
          </w:tcPr>
          <w:p>
            <w:pPr>
              <w:pStyle w:val="TableContents"/>
              <w:bidi w:val="0"/>
              <w:spacing w:before="0" w:after="283"/>
              <w:jc w:val="right"/>
              <w:rPr>
                <w:sz w:val="20"/>
              </w:rPr>
            </w:pPr>
            <w:r>
              <w:rPr>
                <w:sz w:val="20"/>
              </w:rPr>
              <w:t>30,000,000.00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right"/>
              <w:rPr>
                <w:sz w:val="20"/>
              </w:rPr>
            </w:pPr>
            <w:r>
              <w:rPr>
                <w:sz w:val="20"/>
              </w:rPr>
              <w:t>2.40180180180180</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415" w:type="dxa"/>
            <w:tcBorders/>
            <w:shd w:fill="FFFFFF" w:val="clear"/>
            <w:vAlign w:val="center"/>
          </w:tcPr>
          <w:p>
            <w:pPr>
              <w:pStyle w:val="TableContents"/>
              <w:bidi w:val="0"/>
              <w:spacing w:before="0" w:after="283"/>
              <w:jc w:val="right"/>
              <w:rPr>
                <w:sz w:val="20"/>
              </w:rPr>
            </w:pPr>
            <w:r>
              <w:rPr>
                <w:sz w:val="20"/>
              </w:rPr>
              <w:t>16,670,000.00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sz w:val="20"/>
              </w:rPr>
            </w:pPr>
            <w:r>
              <w:rPr>
                <w:sz w:val="20"/>
              </w:rPr>
              <w:t>3.334000000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9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6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4.50450450450450</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0.000000000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90" w:type="dxa"/>
            <w:tcBorders/>
            <w:shd w:fill="FFFFFF" w:val="clear"/>
            <w:vAlign w:val="center"/>
          </w:tcPr>
          <w:p>
            <w:pPr>
              <w:pStyle w:val="TableContents"/>
              <w:bidi w:val="0"/>
              <w:spacing w:before="0" w:after="283"/>
              <w:jc w:val="center"/>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1,055,000,000.00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100.00000000000000</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500,000,000.00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100.000000000</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updated.]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Form of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Forms of Borrowing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Form of Assignment and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Form of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Schedules 1, 2, 4, 5 and 6 to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tm2624268d1_ex99-1.htm"/>
      <w:bookmarkStart w:id="25" w:name="kstm2624268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Immediate Release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62300" cy="914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62300" cy="914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FirstCash Upsizes and Extends Term of Unsecured Bank Credit Facility;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Size of Committed Facility Increased from $700 Million to $1.1 Billion;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 Extended to August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 (August 31, 2026) -- FirstCash Holdings, Inc. (“FirstCash” or the “Company”) (Nasdaq: FCFS), the leading international operator of more than 3,300 retail pawn stores, today announced that it has amended the terms of its long-term, unsecured bank credit agreement to increase the size of the facility, extend its maturity date and enhance other key features, all to further support FirstCash’s long-term global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this amendment and extension, the size of the revolving unsecured credit facility has been increased from $700 million to $1.055 billion, while the maturity date of the facility was extended from August 2029 to August 2031. The amendment provides for an increased permitted net leverage ratio of up to 3.5 times consolidated EBITDA for the full term of the agreement. The amended agreement also reduces the unused fee under the facility and provides for direct borrowings in British pounds sterling of up to a $500 million USD equivalent.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Rick Wessel, chief executive officer, stated, “The additional capacity and extension of the credit facility provide us with five years of significant long-term committed capital to further support our continued growth and expansion in both the U.S. and internationally. In particular, this amendment facilitates the funding of the expected Ramsdens pawn acquisition in the U.K., which has been approved by Ramsdens’ shareholders and is pending final regulatory approval, along with other acquisitions currently in 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upsizing of this facility includes the addition of two new banks to the syndicate and reflects the continued confidence of our existing bank partners, most of which significantly increased their commitments, supported by FirstCash’s strong cash flow generation, disciplined capital allocation and long-term growth prospects. The increased capacity provides us with enhanced liquidity and flexibility to execute on all of our strategic priorities, including accretive acquisitions and ongoing shareholder payouts through cash dividends and share repurchases. We would like to thank all of our commercial bank partners for their partnership with FirstCash and their confidence in our strategic growth plans,” concluded Mr. Wessel.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FirstCash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is the leading international operator of pawn stores focused on serving cash and credit-constrained consumers. FirstCash operates more than 3,300 pawn stores in the U.S., Latin America and the U.K. Most of the stores buy and sell a wide variety of jewelry, electronics, tools, appliances, sporting goods, musical instruments and other merchandise, and make small non-recourse pawn loans secured by pledged personal property. FirstCash’s pawn operations account for approximately 90% of net revenue, with the remainder provided by its wholly owned subsidiary, AFF, a leading provider of customer payment solutions at the point-of-sale for retailers of consumer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FirstCash is a component company in both the </w:t>
      </w:r>
      <w:r>
        <w:rPr>
          <w:rFonts w:ascii="Times New Roman;Times;Serif" w:hAnsi="Times New Roman;Times;Serif"/>
          <w:b/>
          <w:i w:val="false"/>
          <w:caps w:val="false"/>
          <w:smallCaps w:val="false"/>
          <w:sz w:val="20"/>
        </w:rPr>
        <w:t xml:space="preserve">Standard &amp; Poor’s MidCap 400 Index®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i w:val="false"/>
          <w:caps w:val="false"/>
          <w:smallCaps w:val="false"/>
          <w:sz w:val="20"/>
        </w:rPr>
        <w:t>Russell 2000 Index®</w:t>
      </w:r>
      <w:r>
        <w:rPr>
          <w:rFonts w:ascii="Times New Roman;Times;Serif" w:hAnsi="Times New Roman;Times;Serif"/>
          <w:b w:val="false"/>
          <w:i w:val="false"/>
          <w:caps w:val="false"/>
          <w:smallCaps w:val="false"/>
          <w:sz w:val="20"/>
        </w:rPr>
        <w:t>. FirstCash’s common stock (ticker symbol “</w:t>
      </w:r>
      <w:r>
        <w:rPr>
          <w:rFonts w:ascii="Times New Roman;Times;Serif" w:hAnsi="Times New Roman;Times;Serif"/>
          <w:b/>
          <w:i w:val="false"/>
          <w:caps w:val="false"/>
          <w:smallCaps w:val="false"/>
          <w:sz w:val="20"/>
        </w:rPr>
        <w:t>FCFS</w:t>
      </w:r>
      <w:r>
        <w:rPr>
          <w:rFonts w:ascii="Times New Roman;Times;Serif" w:hAnsi="Times New Roman;Times;Serif"/>
          <w:b w:val="false"/>
          <w:i w:val="false"/>
          <w:caps w:val="false"/>
          <w:smallCaps w:val="false"/>
          <w:sz w:val="20"/>
        </w:rPr>
        <w:t>”) is traded on the Nasdaq, the creator of the world’s first electronic stock market. For additional information regarding FirstCash and the services it provides, visit FirstCash’s websites located at http://www.firstcash.com, http://www.americanfirstfinance.com and http://www.handt.co.uk.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about the business, financial condition, outlook and prospects of FirstCash Holdings, Inc. and its wholly owned subsidiaries (together, the “Company”), including the Company’s previously announced Ramsdens acquisition.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that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made to provide the public with management’s current expectations with regard to the credit facility amendment. While the Company believes the expectations reflected in forward-looking statements are reasonable, there can be no assurances such expectations will prove to be accurate. Security holders are cautioned such forward-looking statements involve risks and uncertainties. Certain factors may cause results to differ materially from those anticipated by the forward-looking statements made in this release. Such factors may include, without limitation, risks, uncertainties and regulatory developments discussed and described in the Company’s most recent Annual Report on Form 10-K filed with the Securities and Exchange Commission (the “SEC”), including the risks described in Part 1,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 Jackson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IR Group</w:t>
      </w:r>
    </w:p>
    <w:tbl>
      <w:tblPr>
        <w:tblW w:w="2590" w:type="dxa"/>
        <w:jc w:val="left"/>
        <w:tblInd w:w="0" w:type="dxa"/>
        <w:tblLayout w:type="fixed"/>
        <w:tblCellMar>
          <w:top w:w="0" w:type="dxa"/>
          <w:left w:w="0" w:type="dxa"/>
          <w:bottom w:w="0" w:type="dxa"/>
          <w:right w:w="0" w:type="dxa"/>
        </w:tblCellMar>
      </w:tblPr>
      <w:tblGrid>
        <w:gridCol w:w="605"/>
        <w:gridCol w:w="198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 886-6998</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gar@globalirgroup.com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Orr, Executive Vice President and Chief Financial Officer</w:t>
      </w:r>
    </w:p>
    <w:tbl>
      <w:tblPr>
        <w:tblW w:w="3400" w:type="dxa"/>
        <w:jc w:val="left"/>
        <w:tblInd w:w="0" w:type="dxa"/>
        <w:tblLayout w:type="fixed"/>
        <w:tblCellMar>
          <w:top w:w="0" w:type="dxa"/>
          <w:left w:w="0" w:type="dxa"/>
          <w:bottom w:w="0" w:type="dxa"/>
          <w:right w:w="0" w:type="dxa"/>
        </w:tblCellMar>
      </w:tblPr>
      <w:tblGrid>
        <w:gridCol w:w="755"/>
        <w:gridCol w:w="2645"/>
      </w:tblGrid>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 258-2650</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investorrelations@firstcash.com</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investors.firstcash.com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93161</Words>
  <Characters>495894</Characters>
  <CharactersWithSpaces>595995</CharactersWithSpaces>
  <Paragraphs>5006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