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224905.xml.htm"/>
      <w:bookmarkStart w:id="1" w:name="kswkform4_17792249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ORR 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WEST 7TH STREET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FirstCash Holdings, Inc.</w:t>
              </w:r>
            </w:hyperlink>
            <w:r>
              <w:rPr/>
              <w:t xml:space="preserve"> [ </w:t>
            </w:r>
            <w:r>
              <w:rPr>
                <w:rFonts w:ascii="Times;serif" w:hAnsi="Times;serif"/>
                <w:color w:val="0000FF"/>
                <w:sz w:val="24"/>
                <w:shd w:fill="FFFFFF" w:val="clear"/>
              </w:rPr>
              <w:t>FCFS</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6"/>
        <w:gridCol w:w="928"/>
        <w:gridCol w:w="797"/>
        <w:gridCol w:w="616"/>
        <w:gridCol w:w="343"/>
        <w:gridCol w:w="866"/>
        <w:gridCol w:w="423"/>
        <w:gridCol w:w="853"/>
        <w:gridCol w:w="1123"/>
        <w:gridCol w:w="972"/>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(1)</w:t>
            </w:r>
            <w:r>
              <w:rPr/>
              <w:t xml:space="preserve"> </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227.32</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96,789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(1)</w:t>
            </w:r>
            <w:r>
              <w:rPr/>
              <w:t xml:space="preserve"> </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227.31</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41,610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Spousal Trust</w:t>
            </w:r>
            <w:r>
              <w:rPr>
                <w:rFonts w:ascii="Times;serif" w:hAnsi="Times;serif"/>
                <w:color w:val="008000"/>
                <w:position w:val="7"/>
                <w:sz w:val="16"/>
                <w:sz w:val="20"/>
                <w:shd w:fill="FFFFFF" w:val="clear"/>
              </w:rPr>
              <w:t>(2)</w:t>
            </w:r>
            <w:r>
              <w:rPr/>
              <w:t xml:space="preserve"> </w:t>
            </w:r>
          </w:p>
        </w:tc>
      </w:tr>
      <w:tr>
        <w:trPr/>
        <w:tc>
          <w:tcPr>
            <w:tcW w:w="19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(1)</w:t>
            </w:r>
            <w:r>
              <w:rPr/>
              <w:t xml:space="preserve"> </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227.28</w:t>
            </w:r>
            <w:r>
              <w:rPr/>
              <w:t xml:space="preserve"> </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35,734</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Limited Partnership</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is pursuant to a 10b5-1 Preset Diversification Programs dated June 2, 2025 of which 12,000 shares, in aggregate, of FirstCash Holdings, Inc. common stock remain available for sale subject to certain timing conditions and minimum price thresholds.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held by a trust for the reporting person's spouse and her descendants (the "Spousal Trust"). The reporting person's spouse is trustee of the Spousal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held by a family limited partnership. The reporting person is the general partner of the partnership that owns the reported securities.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 Douglas Orr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1580" TargetMode="External"/><Relationship Id="rId5" Type="http://schemas.openxmlformats.org/officeDocument/2006/relationships/hyperlink" Target="http://www.sec.gov/cgi-bin/browse-edgar?action=getcompany&amp;CIK=00008404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3812</Characters>
  <CharactersWithSpaces>4439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