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19685</wp:posOffset>
            </wp:positionV>
            <wp:extent cx="284607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FIRSTCASH HOLDINGS,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040" w:right="339" w:bottom="1440" w:gutter="0" w:footer="0" w:header="0"/>
        </w:sectPr>
      </w:pPr>
    </w:p>
    <w:p>
      <w:pPr>
        <w:spacing w:after="0" w:line="1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001-10960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87-3920732</w:t>
      </w:r>
    </w:p>
    <w:p>
      <w:pPr>
        <w:spacing w:after="0" w:line="31" w:lineRule="exact"/>
        <w:rPr>
          <w:sz w:val="24"/>
          <w:szCs w:val="24"/>
          <w:color w:val="auto"/>
        </w:rPr>
      </w:pPr>
    </w:p>
    <w:p>
      <w:pPr>
        <w:sectPr>
          <w:pgSz w:w="11900" w:h="16838" w:orient="portrait"/>
          <w:cols w:equalWidth="0" w:num="3">
            <w:col w:w="4500" w:space="720"/>
            <w:col w:w="2980" w:space="720"/>
            <w:col w:w="2320"/>
          </w:cols>
          <w:pgMar w:left="320" w:top="1040" w:right="3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00" w:space="720"/>
            <w:col w:w="3000"/>
          </w:cols>
          <w:pgMar w:left="320" w:top="1040" w:right="339" w:bottom="1440" w:gutter="0" w:footer="0" w:header="0"/>
          <w:type w:val="continuous"/>
        </w:sectPr>
      </w:pP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1600 West 7th Street, Fort Worth, Texas 76102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(817) 335-1100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ectPr>
          <w:pgSz w:w="11900" w:h="16838" w:orient="portrait"/>
          <w:cols w:equalWidth="0" w:num="1">
            <w:col w:w="11240"/>
          </w:cols>
          <w:pgMar w:left="320" w:top="1040" w:right="339" w:bottom="1440" w:gutter="0" w:footer="0" w:header="0"/>
          <w:type w:val="continuous"/>
        </w:sect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1"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274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00" w:type="dxa"/>
            <w:vAlign w:val="bottom"/>
          </w:tcPr>
          <w:p>
            <w:pPr>
              <w:spacing w:after="0"/>
              <w:rPr>
                <w:sz w:val="21"/>
                <w:szCs w:val="21"/>
                <w:color w:val="auto"/>
              </w:rPr>
            </w:pPr>
          </w:p>
        </w:tc>
        <w:tc>
          <w:tcPr>
            <w:tcW w:w="19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FCFS</w:t>
            </w:r>
          </w:p>
        </w:tc>
        <w:tc>
          <w:tcPr>
            <w:tcW w:w="500" w:type="dxa"/>
            <w:vAlign w:val="bottom"/>
          </w:tcPr>
          <w:p>
            <w:pPr>
              <w:spacing w:after="0"/>
              <w:rPr>
                <w:sz w:val="21"/>
                <w:szCs w:val="21"/>
                <w:color w:val="auto"/>
              </w:rPr>
            </w:pPr>
          </w:p>
        </w:tc>
        <w:tc>
          <w:tcPr>
            <w:tcW w:w="3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211D1E"/>
        </w:rPr>
        <w:t>Emerging growth company</w:t>
      </w:r>
      <w:r>
        <w:rPr>
          <w:sz w:val="20"/>
          <w:szCs w:val="20"/>
          <w:color w:val="auto"/>
        </w:rPr>
        <w:tab/>
      </w:r>
      <w:r>
        <w:rPr>
          <w:rFonts w:ascii="MS PGothic" w:cs="MS PGothic" w:eastAsia="MS PGothic" w:hAnsi="MS PGothic"/>
          <w:sz w:val="16"/>
          <w:szCs w:val="16"/>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Securities Exchange Act of 1934. </w:t>
      </w:r>
      <w:r>
        <w:rPr>
          <w:rFonts w:ascii="MS PGothic" w:cs="MS PGothic" w:eastAsia="MS PGothic" w:hAnsi="MS PGothic"/>
          <w:sz w:val="18"/>
          <w:szCs w:val="18"/>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9, 2026, FirstCash Holdings, Inc. (the “Company”) held its Annual Meeting of Stockholders. Of the 43,836,687 issued and outstanding shares of common stock entitled to vote at the meeting, 41,687,943 of the shares voted in person or by proxy, representing 95.09% of the total eligible voting shares.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four proposals were submitted to a vote of the Company's stockholders at the Annual Meeting of Stockholders and the final voting results for each proposal are set forth below.</w:t>
      </w:r>
    </w:p>
    <w:p>
      <w:pPr>
        <w:spacing w:after="0" w:line="229" w:lineRule="exact"/>
        <w:rPr>
          <w:sz w:val="20"/>
          <w:szCs w:val="20"/>
          <w:color w:val="auto"/>
        </w:rPr>
      </w:pPr>
    </w:p>
    <w:p>
      <w:pPr>
        <w:ind w:left="440" w:hanging="414"/>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elected the director nominees for a term of three years. The voting results are as follows:</w:t>
      </w:r>
    </w:p>
    <w:p>
      <w:pPr>
        <w:spacing w:after="0" w:line="9"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Withhold</w:t>
            </w: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Abstain</w:t>
            </w:r>
          </w:p>
        </w:tc>
        <w:tc>
          <w:tcPr>
            <w:tcW w:w="122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Daniel E. Berce</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38,086,913</w:t>
            </w:r>
          </w:p>
        </w:tc>
        <w:tc>
          <w:tcPr>
            <w:tcW w:w="21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2,304,333</w:t>
            </w:r>
          </w:p>
        </w:tc>
        <w:tc>
          <w:tcPr>
            <w:tcW w:w="13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66,806</w:t>
            </w:r>
          </w:p>
        </w:tc>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1,229,891</w:t>
            </w:r>
          </w:p>
        </w:tc>
      </w:tr>
      <w:tr>
        <w:trPr>
          <w:trHeight w:val="22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Mikel D. Faulkner</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36,396,145</w:t>
            </w:r>
          </w:p>
        </w:tc>
        <w:tc>
          <w:tcPr>
            <w:tcW w:w="21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2,982,128</w:t>
            </w:r>
          </w:p>
        </w:tc>
        <w:tc>
          <w:tcPr>
            <w:tcW w:w="25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1,079,779</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1,229,891</w:t>
            </w: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Randel G. Owen</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34,543,697</w:t>
            </w:r>
          </w:p>
        </w:tc>
        <w:tc>
          <w:tcPr>
            <w:tcW w:w="21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4,834,025</w:t>
            </w:r>
          </w:p>
        </w:tc>
        <w:tc>
          <w:tcPr>
            <w:tcW w:w="25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1,080,330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1,229,891</w:t>
            </w:r>
          </w:p>
        </w:tc>
      </w:tr>
    </w:tbl>
    <w:p>
      <w:pPr>
        <w:spacing w:after="0" w:line="265" w:lineRule="exact"/>
        <w:rPr>
          <w:sz w:val="20"/>
          <w:szCs w:val="20"/>
          <w:color w:val="auto"/>
        </w:rPr>
      </w:pPr>
    </w:p>
    <w:p>
      <w:pPr>
        <w:ind w:left="440" w:right="100"/>
        <w:spacing w:after="0" w:line="222" w:lineRule="auto"/>
        <w:rPr>
          <w:sz w:val="20"/>
          <w:szCs w:val="20"/>
          <w:color w:val="auto"/>
        </w:rPr>
      </w:pPr>
      <w:r>
        <w:rPr>
          <w:rFonts w:ascii="Times New Roman" w:cs="Times New Roman" w:eastAsia="Times New Roman" w:hAnsi="Times New Roman"/>
          <w:sz w:val="18"/>
          <w:szCs w:val="18"/>
          <w:color w:val="auto"/>
        </w:rPr>
        <w:t>The other directors with remaining terms are Messrs. Rick L. Wessel and James H. Graves, who will continue to serve until the 2027 Annual Meeting of Stockholders, and Mr. Daniel R. Feehan, Ms. Marthea Davis and Ms. Paula K. Garrett, who will continue to serve until the 2028 Annual</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Meeting of Stockholders.</w:t>
      </w:r>
    </w:p>
    <w:p>
      <w:pPr>
        <w:spacing w:after="0" w:line="273" w:lineRule="exact"/>
        <w:rPr>
          <w:sz w:val="20"/>
          <w:szCs w:val="20"/>
          <w:color w:val="auto"/>
        </w:rPr>
      </w:pPr>
    </w:p>
    <w:p>
      <w:pPr>
        <w:ind w:left="440" w:right="80" w:hanging="414"/>
        <w:spacing w:after="0" w:line="237"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ratified the selection of RSM LLP as independent registered public accounting firm of the Company for the year ended December 31, 2026. The voting results are as follows:</w:t>
      </w:r>
    </w:p>
    <w:tbl>
      <w:tblPr>
        <w:tblLayout w:type="fixed"/>
        <w:tblInd w:w="108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For</w:t>
            </w:r>
          </w:p>
        </w:tc>
        <w:tc>
          <w:tcPr>
            <w:tcW w:w="960" w:type="dxa"/>
            <w:vAlign w:val="bottom"/>
          </w:tcPr>
          <w:p>
            <w:pPr>
              <w:spacing w:after="0"/>
              <w:rPr>
                <w:sz w:val="17"/>
                <w:szCs w:val="17"/>
                <w:color w:val="auto"/>
              </w:rPr>
            </w:pPr>
          </w:p>
        </w:tc>
        <w:tc>
          <w:tcPr>
            <w:tcW w:w="2920" w:type="dxa"/>
            <w:vAlign w:val="bottom"/>
            <w:gridSpan w:val="3"/>
          </w:tcPr>
          <w:p>
            <w:pPr>
              <w:jc w:val="center"/>
              <w:ind w:right="800"/>
              <w:spacing w:after="0" w:line="204" w:lineRule="exact"/>
              <w:rPr>
                <w:sz w:val="20"/>
                <w:szCs w:val="20"/>
                <w:color w:val="auto"/>
              </w:rPr>
            </w:pPr>
            <w:r>
              <w:rPr>
                <w:rFonts w:ascii="Times New Roman" w:cs="Times New Roman" w:eastAsia="Times New Roman" w:hAnsi="Times New Roman"/>
                <w:sz w:val="18"/>
                <w:szCs w:val="18"/>
                <w:color w:val="auto"/>
                <w:w w:val="99"/>
              </w:rPr>
              <w:t>Against</w:t>
            </w:r>
          </w:p>
        </w:tc>
        <w:tc>
          <w:tcPr>
            <w:tcW w:w="1780" w:type="dxa"/>
            <w:vAlign w:val="bottom"/>
            <w:gridSpan w:val="2"/>
          </w:tcPr>
          <w:p>
            <w:pPr>
              <w:jc w:val="center"/>
              <w:ind w:right="1220"/>
              <w:spacing w:after="0" w:line="204" w:lineRule="exact"/>
              <w:rPr>
                <w:sz w:val="20"/>
                <w:szCs w:val="20"/>
                <w:color w:val="auto"/>
              </w:rPr>
            </w:pPr>
            <w:r>
              <w:rPr>
                <w:rFonts w:ascii="Times New Roman" w:cs="Times New Roman" w:eastAsia="Times New Roman" w:hAnsi="Times New Roman"/>
                <w:sz w:val="18"/>
                <w:szCs w:val="18"/>
                <w:color w:val="auto"/>
                <w:w w:val="99"/>
              </w:rPr>
              <w:t>Abstain</w:t>
            </w:r>
          </w:p>
        </w:tc>
        <w:tc>
          <w:tcPr>
            <w:tcW w:w="130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7"/>
              </w:rPr>
              <w:t>Broker Non-Votes</w:t>
            </w:r>
          </w:p>
        </w:tc>
      </w:tr>
      <w:tr>
        <w:trPr>
          <w:trHeight w:val="20"/>
        </w:trPr>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250"/>
        </w:trPr>
        <w:tc>
          <w:tcPr>
            <w:tcW w:w="15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w w:val="98"/>
              </w:rPr>
              <w:t>40,547,565</w:t>
            </w:r>
          </w:p>
        </w:tc>
        <w:tc>
          <w:tcPr>
            <w:tcW w:w="2920" w:type="dxa"/>
            <w:vAlign w:val="bottom"/>
            <w:gridSpan w:val="3"/>
          </w:tcPr>
          <w:p>
            <w:pPr>
              <w:jc w:val="right"/>
              <w:ind w:right="1500"/>
              <w:spacing w:after="0"/>
              <w:rPr>
                <w:sz w:val="20"/>
                <w:szCs w:val="20"/>
                <w:color w:val="auto"/>
              </w:rPr>
            </w:pPr>
            <w:r>
              <w:rPr>
                <w:rFonts w:ascii="Times New Roman" w:cs="Times New Roman" w:eastAsia="Times New Roman" w:hAnsi="Times New Roman"/>
                <w:sz w:val="18"/>
                <w:szCs w:val="18"/>
                <w:color w:val="auto"/>
              </w:rPr>
              <w:t>1,057,741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82,637</w:t>
            </w:r>
          </w:p>
        </w:tc>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65" w:lineRule="exact"/>
        <w:rPr>
          <w:sz w:val="20"/>
          <w:szCs w:val="20"/>
          <w:color w:val="auto"/>
        </w:rPr>
      </w:pPr>
    </w:p>
    <w:p>
      <w:pPr>
        <w:ind w:left="440" w:hanging="41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approved, on an advisory basis, the compensation of the Company's named executive officers. The voting results are as follows:</w:t>
      </w:r>
    </w:p>
    <w:p>
      <w:pPr>
        <w:spacing w:after="0" w:line="9"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960" w:type="dxa"/>
            <w:vAlign w:val="bottom"/>
          </w:tcPr>
          <w:p>
            <w:pPr>
              <w:spacing w:after="0"/>
              <w:rPr>
                <w:sz w:val="17"/>
                <w:szCs w:val="17"/>
                <w:color w:val="auto"/>
              </w:rPr>
            </w:pPr>
          </w:p>
        </w:tc>
        <w:tc>
          <w:tcPr>
            <w:tcW w:w="21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Against</w:t>
            </w:r>
          </w:p>
        </w:tc>
        <w:tc>
          <w:tcPr>
            <w:tcW w:w="76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Abstain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0"/>
        </w:trPr>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250"/>
        </w:trPr>
        <w:tc>
          <w:tcPr>
            <w:tcW w:w="15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w w:val="98"/>
              </w:rPr>
              <w:t>38,790,782</w:t>
            </w:r>
          </w:p>
        </w:tc>
        <w:tc>
          <w:tcPr>
            <w:tcW w:w="21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1,306,697</w:t>
            </w:r>
          </w:p>
        </w:tc>
        <w:tc>
          <w:tcPr>
            <w:tcW w:w="25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360,573</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1,229,891</w:t>
            </w:r>
          </w:p>
        </w:tc>
      </w:tr>
    </w:tbl>
    <w:p>
      <w:pPr>
        <w:spacing w:after="0" w:line="265" w:lineRule="exact"/>
        <w:rPr>
          <w:sz w:val="20"/>
          <w:szCs w:val="20"/>
          <w:color w:val="auto"/>
        </w:rPr>
      </w:pPr>
    </w:p>
    <w:p>
      <w:pPr>
        <w:ind w:left="440" w:hanging="41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approved the reincorporation of the Company to the State of Texas by conversion. The voting results are as follows:</w:t>
      </w:r>
    </w:p>
    <w:p>
      <w:pPr>
        <w:spacing w:after="0" w:line="9"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28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940" w:type="dxa"/>
            <w:vAlign w:val="bottom"/>
          </w:tcPr>
          <w:p>
            <w:pPr>
              <w:spacing w:after="0"/>
              <w:rPr>
                <w:sz w:val="18"/>
                <w:szCs w:val="18"/>
                <w:color w:val="auto"/>
              </w:rPr>
            </w:pPr>
          </w:p>
        </w:tc>
        <w:tc>
          <w:tcPr>
            <w:tcW w:w="294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9"/>
              </w:rPr>
              <w:t>Against</w:t>
            </w:r>
          </w:p>
        </w:tc>
        <w:tc>
          <w:tcPr>
            <w:tcW w:w="178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w w:val="99"/>
              </w:rPr>
              <w:t>Abstain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0"/>
        </w:trPr>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250"/>
        </w:trPr>
        <w:tc>
          <w:tcPr>
            <w:tcW w:w="14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w w:val="98"/>
              </w:rPr>
              <w:t>23,600,784</w:t>
            </w:r>
          </w:p>
        </w:tc>
        <w:tc>
          <w:tcPr>
            <w:tcW w:w="2940" w:type="dxa"/>
            <w:vAlign w:val="bottom"/>
            <w:gridSpan w:val="3"/>
          </w:tcPr>
          <w:p>
            <w:pPr>
              <w:jc w:val="right"/>
              <w:ind w:right="1460"/>
              <w:spacing w:after="0"/>
              <w:rPr>
                <w:sz w:val="20"/>
                <w:szCs w:val="20"/>
                <w:color w:val="auto"/>
              </w:rPr>
            </w:pPr>
            <w:r>
              <w:rPr>
                <w:rFonts w:ascii="Times New Roman" w:cs="Times New Roman" w:eastAsia="Times New Roman" w:hAnsi="Times New Roman"/>
                <w:sz w:val="18"/>
                <w:szCs w:val="18"/>
                <w:color w:val="auto"/>
              </w:rPr>
              <w:t>16,811,631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45,637</w:t>
            </w:r>
          </w:p>
        </w:tc>
        <w:tc>
          <w:tcPr>
            <w:tcW w:w="122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1,229,891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Dated: June 9, 2026</w:t>
            </w: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FIRSTCASH HOLDINGS, INC.</w:t>
            </w:r>
          </w:p>
        </w:tc>
      </w:tr>
      <w:tr>
        <w:trPr>
          <w:trHeight w:val="250"/>
        </w:trPr>
        <w:tc>
          <w:tcPr>
            <w:tcW w:w="4740" w:type="dxa"/>
            <w:vAlign w:val="bottom"/>
          </w:tcPr>
          <w:p>
            <w:pPr>
              <w:spacing w:after="0"/>
              <w:rPr>
                <w:sz w:val="21"/>
                <w:szCs w:val="21"/>
                <w:color w:val="auto"/>
              </w:rPr>
            </w:pPr>
          </w:p>
        </w:tc>
        <w:tc>
          <w:tcPr>
            <w:tcW w:w="2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(Registrant)</w:t>
            </w:r>
          </w:p>
        </w:tc>
        <w:tc>
          <w:tcPr>
            <w:tcW w:w="1380" w:type="dxa"/>
            <w:vAlign w:val="bottom"/>
          </w:tcPr>
          <w:p>
            <w:pPr>
              <w:spacing w:after="0"/>
              <w:rPr>
                <w:sz w:val="21"/>
                <w:szCs w:val="21"/>
                <w:color w:val="auto"/>
              </w:rPr>
            </w:pPr>
          </w:p>
        </w:tc>
      </w:tr>
      <w:tr>
        <w:trPr>
          <w:trHeight w:val="621"/>
        </w:trPr>
        <w:tc>
          <w:tcPr>
            <w:tcW w:w="4740" w:type="dxa"/>
            <w:vAlign w:val="bottom"/>
          </w:tcPr>
          <w:p>
            <w:pPr>
              <w:spacing w:after="0"/>
              <w:rPr>
                <w:sz w:val="24"/>
                <w:szCs w:val="24"/>
                <w:color w:val="auto"/>
              </w:rPr>
            </w:pP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BRIAN D. HOSTETLER</w:t>
            </w:r>
          </w:p>
        </w:tc>
        <w:tc>
          <w:tcPr>
            <w:tcW w:w="1680" w:type="dxa"/>
            <w:vAlign w:val="bottom"/>
            <w:gridSpan w:val="2"/>
          </w:tcPr>
          <w:p>
            <w:pPr>
              <w:spacing w:after="0"/>
              <w:rPr>
                <w:sz w:val="24"/>
                <w:szCs w:val="24"/>
                <w:color w:val="auto"/>
              </w:rPr>
            </w:pPr>
          </w:p>
        </w:tc>
      </w:tr>
      <w:tr>
        <w:trPr>
          <w:trHeight w:val="245"/>
        </w:trPr>
        <w:tc>
          <w:tcPr>
            <w:tcW w:w="4740" w:type="dxa"/>
            <w:vAlign w:val="bottom"/>
          </w:tcPr>
          <w:p>
            <w:pPr>
              <w:spacing w:after="0"/>
              <w:rPr>
                <w:sz w:val="21"/>
                <w:szCs w:val="21"/>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Brian D. Hostetler</w:t>
            </w:r>
          </w:p>
        </w:tc>
      </w:tr>
      <w:tr>
        <w:trPr>
          <w:trHeight w:val="230"/>
        </w:trPr>
        <w:tc>
          <w:tcPr>
            <w:tcW w:w="474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w:t>
            </w:r>
          </w:p>
        </w:tc>
      </w:tr>
      <w:tr>
        <w:trPr>
          <w:trHeight w:val="234"/>
        </w:trPr>
        <w:tc>
          <w:tcPr>
            <w:tcW w:w="474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00"/>
      </w:cols>
      <w:pgMar w:left="320" w:top="92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2026-06-09T10:52:00Z</dcterms:created>
  <dcterms:modified xsi:type="dcterms:W3CDTF">2026-06-09T10:52:00Z</dcterms:modified>
</cp:coreProperties>
</file>